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49B01CC" w14:textId="1640181F" w:rsidR="009113E8" w:rsidRPr="007B24F2" w:rsidRDefault="009113E8" w:rsidP="007B24F2">
      <w:pPr>
        <w:pStyle w:val="Header"/>
        <w:tabs>
          <w:tab w:val="left" w:pos="2410"/>
          <w:tab w:val="right" w:pos="9639"/>
        </w:tabs>
        <w:rPr>
          <w:bCs/>
          <w:i/>
          <w:sz w:val="24"/>
          <w:szCs w:val="24"/>
        </w:rPr>
      </w:pPr>
      <w:r w:rsidRPr="007B24F2">
        <w:rPr>
          <w:bCs/>
          <w:sz w:val="24"/>
          <w:szCs w:val="24"/>
        </w:rPr>
        <w:t>3GPP T</w:t>
      </w:r>
      <w:bookmarkStart w:id="0" w:name="_Ref452454252"/>
      <w:bookmarkEnd w:id="0"/>
      <w:r w:rsidRPr="007B24F2">
        <w:rPr>
          <w:bCs/>
          <w:sz w:val="24"/>
          <w:szCs w:val="24"/>
        </w:rPr>
        <w:t>SG</w:t>
      </w:r>
      <w:r w:rsidR="00362876">
        <w:rPr>
          <w:bCs/>
          <w:sz w:val="24"/>
          <w:szCs w:val="24"/>
        </w:rPr>
        <w:t xml:space="preserve"> </w:t>
      </w:r>
      <w:r w:rsidRPr="007B24F2">
        <w:rPr>
          <w:bCs/>
          <w:sz w:val="24"/>
          <w:szCs w:val="24"/>
        </w:rPr>
        <w:t xml:space="preserve">RAN </w:t>
      </w:r>
      <w:r w:rsidRPr="007B24F2">
        <w:rPr>
          <w:sz w:val="24"/>
          <w:szCs w:val="24"/>
        </w:rPr>
        <w:t>Meeting #</w:t>
      </w:r>
      <w:r w:rsidR="00772BBF">
        <w:rPr>
          <w:sz w:val="24"/>
          <w:szCs w:val="24"/>
        </w:rPr>
        <w:t>10</w:t>
      </w:r>
      <w:r w:rsidR="005F1B07">
        <w:rPr>
          <w:sz w:val="24"/>
          <w:szCs w:val="24"/>
        </w:rPr>
        <w:t>6</w:t>
      </w:r>
      <w:r w:rsidRPr="007B24F2">
        <w:rPr>
          <w:bCs/>
          <w:sz w:val="24"/>
          <w:szCs w:val="24"/>
        </w:rPr>
        <w:tab/>
        <w:t>R</w:t>
      </w:r>
      <w:r w:rsidR="00783438">
        <w:rPr>
          <w:bCs/>
          <w:sz w:val="24"/>
          <w:szCs w:val="24"/>
        </w:rPr>
        <w:t>P</w:t>
      </w:r>
      <w:r w:rsidRPr="007B24F2">
        <w:rPr>
          <w:bCs/>
          <w:sz w:val="24"/>
          <w:szCs w:val="24"/>
        </w:rPr>
        <w:t>-</w:t>
      </w:r>
      <w:r w:rsidR="009F700F" w:rsidRPr="007B24F2">
        <w:rPr>
          <w:bCs/>
          <w:sz w:val="24"/>
          <w:szCs w:val="24"/>
        </w:rPr>
        <w:t>2</w:t>
      </w:r>
      <w:r w:rsidR="00F42EDE">
        <w:rPr>
          <w:bCs/>
          <w:sz w:val="24"/>
          <w:szCs w:val="24"/>
        </w:rPr>
        <w:t>4</w:t>
      </w:r>
      <w:r w:rsidR="00DD457A">
        <w:rPr>
          <w:bCs/>
          <w:sz w:val="24"/>
          <w:szCs w:val="24"/>
        </w:rPr>
        <w:t>2</w:t>
      </w:r>
      <w:r w:rsidR="005F1B07">
        <w:rPr>
          <w:bCs/>
          <w:sz w:val="24"/>
          <w:szCs w:val="24"/>
        </w:rPr>
        <w:t>530</w:t>
      </w:r>
    </w:p>
    <w:p w14:paraId="09A0C4C2" w14:textId="0657DBA0" w:rsidR="009113E8" w:rsidRPr="007B24F2" w:rsidRDefault="005F1B07" w:rsidP="007B24F2">
      <w:pPr>
        <w:pStyle w:val="Header"/>
        <w:tabs>
          <w:tab w:val="left" w:pos="2410"/>
          <w:tab w:val="right" w:pos="9639"/>
        </w:tabs>
        <w:rPr>
          <w:bCs/>
          <w:sz w:val="24"/>
          <w:szCs w:val="24"/>
        </w:rPr>
      </w:pPr>
      <w:r>
        <w:rPr>
          <w:rFonts w:eastAsia="Batang" w:cs="Arial"/>
          <w:color w:val="000000"/>
          <w:sz w:val="24"/>
          <w:szCs w:val="24"/>
        </w:rPr>
        <w:t>Madrid</w:t>
      </w:r>
      <w:r w:rsidR="00F42EDE" w:rsidRPr="00F42EDE">
        <w:rPr>
          <w:rFonts w:eastAsia="Batang" w:cs="Arial"/>
          <w:color w:val="000000"/>
          <w:sz w:val="24"/>
          <w:szCs w:val="24"/>
        </w:rPr>
        <w:t xml:space="preserve">, </w:t>
      </w:r>
      <w:r>
        <w:rPr>
          <w:rFonts w:eastAsia="Batang" w:cs="Arial"/>
          <w:color w:val="000000"/>
          <w:sz w:val="24"/>
          <w:szCs w:val="24"/>
        </w:rPr>
        <w:t>Spain</w:t>
      </w:r>
      <w:r w:rsidR="00F42EDE" w:rsidRPr="00F42EDE">
        <w:rPr>
          <w:rFonts w:eastAsia="Batang" w:cs="Arial"/>
          <w:color w:val="000000"/>
          <w:sz w:val="24"/>
          <w:szCs w:val="24"/>
        </w:rPr>
        <w:t xml:space="preserve">, </w:t>
      </w:r>
      <w:r>
        <w:rPr>
          <w:rFonts w:eastAsia="Batang" w:cs="Arial"/>
          <w:color w:val="000000"/>
          <w:sz w:val="24"/>
          <w:szCs w:val="24"/>
        </w:rPr>
        <w:t>December</w:t>
      </w:r>
      <w:r w:rsidR="00F42EDE" w:rsidRPr="00F42EDE">
        <w:rPr>
          <w:rFonts w:eastAsia="Batang" w:cs="Arial"/>
          <w:color w:val="000000"/>
          <w:sz w:val="24"/>
          <w:szCs w:val="24"/>
        </w:rPr>
        <w:t xml:space="preserve"> 9-12, 2024</w:t>
      </w:r>
    </w:p>
    <w:p w14:paraId="77A8EB30" w14:textId="77777777" w:rsidR="009113E8" w:rsidRPr="007B24F2" w:rsidRDefault="009113E8" w:rsidP="007B24F2">
      <w:pPr>
        <w:pStyle w:val="Header"/>
        <w:rPr>
          <w:bCs/>
          <w:sz w:val="24"/>
        </w:rPr>
      </w:pPr>
    </w:p>
    <w:p w14:paraId="265390CB" w14:textId="77777777" w:rsidR="009113E8" w:rsidRPr="007B24F2" w:rsidRDefault="009113E8" w:rsidP="007B24F2">
      <w:pPr>
        <w:pStyle w:val="Header"/>
        <w:rPr>
          <w:bCs/>
          <w:sz w:val="24"/>
        </w:rPr>
      </w:pPr>
    </w:p>
    <w:p w14:paraId="6EE67510" w14:textId="7F1754A6" w:rsidR="009113E8" w:rsidRPr="007B24F2" w:rsidRDefault="009113E8" w:rsidP="007B24F2">
      <w:pPr>
        <w:pStyle w:val="CRCoverPage"/>
        <w:tabs>
          <w:tab w:val="left" w:pos="1985"/>
        </w:tabs>
        <w:rPr>
          <w:rFonts w:cs="Arial"/>
          <w:b/>
          <w:bCs/>
          <w:sz w:val="24"/>
          <w:lang w:eastAsia="ja-JP"/>
        </w:rPr>
      </w:pPr>
      <w:r w:rsidRPr="007B24F2">
        <w:rPr>
          <w:rFonts w:cs="Arial"/>
          <w:b/>
          <w:bCs/>
          <w:sz w:val="24"/>
        </w:rPr>
        <w:t>Agenda item:</w:t>
      </w:r>
      <w:r w:rsidRPr="007B24F2">
        <w:rPr>
          <w:rFonts w:cs="Arial"/>
          <w:b/>
          <w:bCs/>
          <w:sz w:val="24"/>
        </w:rPr>
        <w:tab/>
      </w:r>
      <w:r w:rsidR="005F1B07">
        <w:rPr>
          <w:rFonts w:cs="Arial"/>
          <w:b/>
          <w:bCs/>
          <w:sz w:val="24"/>
        </w:rPr>
        <w:t>16</w:t>
      </w:r>
    </w:p>
    <w:p w14:paraId="1A25E54B" w14:textId="173338D3" w:rsidR="009113E8" w:rsidRPr="007B24F2" w:rsidRDefault="009113E8" w:rsidP="007B24F2">
      <w:pPr>
        <w:tabs>
          <w:tab w:val="left" w:pos="1985"/>
        </w:tabs>
        <w:ind w:left="1985" w:hanging="1985"/>
        <w:rPr>
          <w:rFonts w:ascii="Arial" w:hAnsi="Arial" w:cs="Arial"/>
          <w:b/>
          <w:bCs/>
          <w:sz w:val="24"/>
        </w:rPr>
      </w:pPr>
      <w:r w:rsidRPr="007B24F2">
        <w:rPr>
          <w:rFonts w:ascii="Arial" w:hAnsi="Arial" w:cs="Arial"/>
          <w:b/>
          <w:bCs/>
          <w:sz w:val="24"/>
        </w:rPr>
        <w:t>Source:</w:t>
      </w:r>
      <w:r w:rsidRPr="007B24F2">
        <w:rPr>
          <w:rFonts w:ascii="Arial" w:hAnsi="Arial" w:cs="Arial"/>
          <w:b/>
          <w:bCs/>
          <w:sz w:val="24"/>
        </w:rPr>
        <w:tab/>
      </w:r>
      <w:r w:rsidRPr="0079428D">
        <w:rPr>
          <w:rFonts w:ascii="Arial" w:hAnsi="Arial" w:cs="Arial"/>
          <w:b/>
          <w:bCs/>
          <w:sz w:val="24"/>
        </w:rPr>
        <w:t>Nokia</w:t>
      </w:r>
    </w:p>
    <w:p w14:paraId="3ADA391A" w14:textId="66373BC1" w:rsidR="009113E8" w:rsidRPr="007B24F2" w:rsidRDefault="009113E8" w:rsidP="007B24F2">
      <w:pPr>
        <w:ind w:left="1985" w:hanging="1985"/>
        <w:rPr>
          <w:rFonts w:ascii="Arial" w:hAnsi="Arial" w:cs="Arial"/>
          <w:b/>
          <w:bCs/>
          <w:sz w:val="24"/>
        </w:rPr>
      </w:pPr>
      <w:r w:rsidRPr="007B24F2">
        <w:rPr>
          <w:rFonts w:ascii="Arial" w:hAnsi="Arial" w:cs="Arial"/>
          <w:b/>
          <w:bCs/>
          <w:sz w:val="24"/>
        </w:rPr>
        <w:t>Title:</w:t>
      </w:r>
      <w:r w:rsidRPr="007B24F2">
        <w:rPr>
          <w:rFonts w:ascii="Arial" w:hAnsi="Arial" w:cs="Arial"/>
          <w:b/>
          <w:bCs/>
          <w:sz w:val="24"/>
        </w:rPr>
        <w:tab/>
      </w:r>
      <w:r w:rsidR="005F1B07" w:rsidRPr="005F1B07">
        <w:rPr>
          <w:rFonts w:ascii="Arial" w:hAnsi="Arial" w:cs="Arial"/>
          <w:b/>
          <w:bCs/>
          <w:sz w:val="24"/>
        </w:rPr>
        <w:t>Nokia views on IMT-2030 Technical Performance Requirements</w:t>
      </w:r>
    </w:p>
    <w:p w14:paraId="60CD5F87" w14:textId="1728EA97" w:rsidR="009113E8" w:rsidRPr="007B24F2" w:rsidRDefault="009113E8" w:rsidP="007B24F2">
      <w:pPr>
        <w:tabs>
          <w:tab w:val="left" w:pos="1985"/>
        </w:tabs>
        <w:rPr>
          <w:rFonts w:ascii="Arial" w:hAnsi="Arial" w:cs="Arial"/>
          <w:b/>
          <w:bCs/>
          <w:sz w:val="24"/>
        </w:rPr>
      </w:pPr>
      <w:r w:rsidRPr="007B24F2">
        <w:rPr>
          <w:rFonts w:ascii="Arial" w:hAnsi="Arial" w:cs="Arial"/>
          <w:b/>
          <w:bCs/>
          <w:sz w:val="24"/>
        </w:rPr>
        <w:t>Document for:</w:t>
      </w:r>
      <w:r w:rsidRPr="007B24F2">
        <w:rPr>
          <w:rFonts w:ascii="Arial" w:hAnsi="Arial" w:cs="Arial"/>
          <w:b/>
          <w:bCs/>
          <w:sz w:val="24"/>
        </w:rPr>
        <w:tab/>
      </w:r>
      <w:r w:rsidR="00FF350E" w:rsidRPr="007B24F2">
        <w:rPr>
          <w:rFonts w:ascii="Arial" w:hAnsi="Arial" w:cs="Arial"/>
          <w:b/>
          <w:bCs/>
          <w:sz w:val="24"/>
        </w:rPr>
        <w:t>Discussion</w:t>
      </w:r>
    </w:p>
    <w:p w14:paraId="41D6AA04" w14:textId="77777777" w:rsidR="009113E8" w:rsidRPr="004B3B5B" w:rsidRDefault="009113E8" w:rsidP="007B24F2">
      <w:pPr>
        <w:pStyle w:val="Heading1"/>
      </w:pPr>
      <w:r w:rsidRPr="004B3B5B">
        <w:t>1</w:t>
      </w:r>
      <w:r w:rsidRPr="004B3B5B">
        <w:tab/>
        <w:t>Introduction</w:t>
      </w:r>
    </w:p>
    <w:p w14:paraId="22F536EA" w14:textId="49324866" w:rsidR="005F1B07" w:rsidRDefault="005F1B07" w:rsidP="005F1B07">
      <w:pPr>
        <w:rPr>
          <w:lang w:eastAsia="zh-CN"/>
        </w:rPr>
      </w:pPr>
      <w:r>
        <w:rPr>
          <w:lang w:eastAsia="zh-CN"/>
        </w:rPr>
        <w:t xml:space="preserve">ITU-R Working Party 5D (WP 5D) has developed Report </w:t>
      </w:r>
      <w:hyperlink r:id="rId13" w:history="1">
        <w:r>
          <w:rPr>
            <w:rStyle w:val="Hyperlink"/>
            <w:lang w:eastAsia="zh-CN"/>
          </w:rPr>
          <w:t>ITU-R M.2516</w:t>
        </w:r>
      </w:hyperlink>
      <w:r>
        <w:rPr>
          <w:lang w:eastAsia="zh-CN"/>
        </w:rPr>
        <w:t xml:space="preserve"> titled “Future technology trends of terrestrial International Mobile Telecommunications systems towards 2030 and beyond”, and </w:t>
      </w:r>
      <w:r>
        <w:t xml:space="preserve">Recommendation </w:t>
      </w:r>
      <w:hyperlink r:id="rId14" w:history="1">
        <w:r>
          <w:rPr>
            <w:rStyle w:val="Hyperlink"/>
            <w:lang w:eastAsia="zh-CN"/>
          </w:rPr>
          <w:t>ITU-R M.2160</w:t>
        </w:r>
      </w:hyperlink>
      <w:r>
        <w:rPr>
          <w:lang w:eastAsia="zh-CN"/>
        </w:rPr>
        <w:t xml:space="preserve"> titled “Framework and overall objectives of the future development of IMT for 2030 and beyond” in the previous WRC cycle. </w:t>
      </w:r>
      <w:r w:rsidR="00B4070D">
        <w:rPr>
          <w:lang w:eastAsia="zh-CN"/>
        </w:rPr>
        <w:t>In their LS in [</w:t>
      </w:r>
      <w:r w:rsidR="008F358D">
        <w:rPr>
          <w:lang w:eastAsia="zh-CN"/>
        </w:rPr>
        <w:t>1</w:t>
      </w:r>
      <w:r w:rsidR="00B4070D">
        <w:rPr>
          <w:lang w:eastAsia="zh-CN"/>
        </w:rPr>
        <w:t xml:space="preserve">], ITU-R WP 5D request input from external organizations </w:t>
      </w:r>
      <w:r w:rsidR="00C10C27">
        <w:rPr>
          <w:lang w:eastAsia="zh-CN"/>
        </w:rPr>
        <w:t>such as 3GPP on aspects including but not limited to</w:t>
      </w:r>
      <w:r w:rsidR="00B4070D">
        <w:rPr>
          <w:lang w:eastAsia="zh-CN"/>
        </w:rPr>
        <w:t>:</w:t>
      </w:r>
    </w:p>
    <w:p w14:paraId="76D884D0" w14:textId="77777777" w:rsidR="00875D74" w:rsidRDefault="00875D74" w:rsidP="00875D74">
      <w:pPr>
        <w:pStyle w:val="ListParagraph"/>
        <w:numPr>
          <w:ilvl w:val="0"/>
          <w:numId w:val="32"/>
        </w:numPr>
        <w:rPr>
          <w:lang w:eastAsia="zh-CN"/>
        </w:rPr>
      </w:pPr>
      <w:r w:rsidRPr="00875D74">
        <w:rPr>
          <w:lang w:eastAsia="zh-CN"/>
        </w:rPr>
        <w:t xml:space="preserve">Candidate items for minimum technical performance requirements based on M.2160 Usage Scenarios and Capabilities, including necessary background information and justification, which are requested to be provided preferably by WP 5D #48 (Feb 2025 TBC). </w:t>
      </w:r>
    </w:p>
    <w:p w14:paraId="7CD5F393" w14:textId="3F568FD4" w:rsidR="00875D74" w:rsidRDefault="00875D74" w:rsidP="00875D74">
      <w:pPr>
        <w:pStyle w:val="ListParagraph"/>
        <w:numPr>
          <w:ilvl w:val="0"/>
          <w:numId w:val="32"/>
        </w:numPr>
        <w:rPr>
          <w:lang w:eastAsia="zh-CN"/>
        </w:rPr>
      </w:pPr>
      <w:r w:rsidRPr="00875D74">
        <w:rPr>
          <w:lang w:eastAsia="zh-CN"/>
        </w:rPr>
        <w:t>Associated target values for the above candidate items for the minimum technical performance requirements which are requested to be provided preferably by WP 5D #49, (June/July 2025 TBC)</w:t>
      </w:r>
    </w:p>
    <w:p w14:paraId="1172DE84" w14:textId="2E9FB50B" w:rsidR="005F1B07" w:rsidRDefault="005F1B07" w:rsidP="005F1B07">
      <w:r>
        <w:rPr>
          <w:lang w:eastAsia="zh-CN"/>
        </w:rPr>
        <w:t xml:space="preserve">The Framework includes definition </w:t>
      </w:r>
      <w:r w:rsidR="006E3C93">
        <w:rPr>
          <w:lang w:eastAsia="zh-CN"/>
        </w:rPr>
        <w:t>of</w:t>
      </w:r>
      <w:r>
        <w:rPr>
          <w:lang w:eastAsia="zh-CN"/>
        </w:rPr>
        <w:t xml:space="preserve"> </w:t>
      </w:r>
      <w:r>
        <w:t>capabilities of IMT-2030</w:t>
      </w:r>
      <w:r>
        <w:rPr>
          <w:lang w:eastAsia="zh-CN"/>
        </w:rPr>
        <w:t>, where some are currently listed with a range of research target values. The IMT-2030 Capabilities are illustrated in Figure 1.</w:t>
      </w:r>
      <w:r w:rsidR="0061095D">
        <w:rPr>
          <w:lang w:eastAsia="zh-CN"/>
        </w:rPr>
        <w:t xml:space="preserve"> </w:t>
      </w:r>
      <w:r>
        <w:t>WP 5D is now expected to define Technical Performance Requirements (TPRs) for the capabilities</w:t>
      </w:r>
      <w:r>
        <w:rPr>
          <w:lang w:eastAsia="zh-CN"/>
        </w:rPr>
        <w:t xml:space="preserve">, which then need to be mapped to usage scenarios and test environments, if applicable (refer to </w:t>
      </w:r>
      <w:r>
        <w:t>Section 4 of Rec. ITU-R M.2160</w:t>
      </w:r>
      <w:r>
        <w:rPr>
          <w:lang w:eastAsia="zh-CN"/>
        </w:rPr>
        <w:t xml:space="preserve">). </w:t>
      </w:r>
      <w:r>
        <w:t xml:space="preserve">It should be recognized that some of these TPRs can be expressed and evaluated quantitatively, whereas others can only be expressed and evaluated qualitatively, i.e. as in IMT-2020, a target value may not always be defined for a TPR. Some capabilities that will not be evaluated may be left out of the </w:t>
      </w:r>
      <w:r w:rsidR="000A5A1A">
        <w:t>ITU-R</w:t>
      </w:r>
      <w:r w:rsidR="00B9745D">
        <w:t xml:space="preserve"> </w:t>
      </w:r>
      <w:r>
        <w:t>Report (without having associated TPRs)</w:t>
      </w:r>
      <w:r w:rsidR="000A5A1A">
        <w:t>; instead, IMT-2030 systems support for those Capabilities may be described verbally using the “</w:t>
      </w:r>
      <w:r w:rsidR="00A25C12">
        <w:t>Submission</w:t>
      </w:r>
      <w:r w:rsidR="000A5A1A">
        <w:t xml:space="preserve"> Template”, which is expected to be </w:t>
      </w:r>
      <w:proofErr w:type="gramStart"/>
      <w:r w:rsidR="000A5A1A">
        <w:t>similar to</w:t>
      </w:r>
      <w:proofErr w:type="gramEnd"/>
      <w:r w:rsidR="000A5A1A">
        <w:t xml:space="preserve"> ITU-R Report M.2411 defined for IMT-2020</w:t>
      </w:r>
      <w:r>
        <w:t xml:space="preserve">. </w:t>
      </w:r>
    </w:p>
    <w:p w14:paraId="5F328C29" w14:textId="77777777" w:rsidR="00875D74" w:rsidRDefault="005F1B07" w:rsidP="00875D74">
      <w:pPr>
        <w:keepNext/>
        <w:jc w:val="center"/>
      </w:pPr>
      <w:r>
        <w:rPr>
          <w:noProof/>
        </w:rPr>
        <w:drawing>
          <wp:inline distT="0" distB="0" distL="0" distR="0" wp14:anchorId="4F9B4586" wp14:editId="780ED22E">
            <wp:extent cx="4140161" cy="2981739"/>
            <wp:effectExtent l="0" t="0" r="0" b="0"/>
            <wp:docPr id="9" name="Picture 8" descr="A diagram of the company's capability&#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pic:nvPicPr>
                  <pic:blipFill>
                    <a:blip r:embed="rId15">
                      <a:extLst>
                        <a:ext uri="{FF2B5EF4-FFF2-40B4-BE49-F238E27FC236}">
                          <a16:creationId xmlns:arto="http://schemas.microsoft.com/office/word/2006/arto" xmlns:a16="http://schemas.microsoft.com/office/drawing/2014/main" xmlns:w="http://schemas.openxmlformats.org/wordprocessingml/2006/main" xmlns:w10="urn:schemas-microsoft-com:office:word" xmlns:v="urn:schemas-microsoft-com:vml" xmlns:o="urn:schemas-microsoft-com:office:office" xmlns="" id="{66ACC12A-F253-3A28-6790-A04FBF739BAE}"/>
                        </a:ext>
                      </a:extLst>
                    </a:blip>
                    <a:stretch>
                      <a:fillRect/>
                    </a:stretch>
                  </pic:blipFill>
                  <pic:spPr>
                    <a:xfrm>
                      <a:off x="0" y="0"/>
                      <a:ext cx="4159851" cy="2995920"/>
                    </a:xfrm>
                    <a:prstGeom prst="rect">
                      <a:avLst/>
                    </a:prstGeom>
                  </pic:spPr>
                </pic:pic>
              </a:graphicData>
            </a:graphic>
          </wp:inline>
        </w:drawing>
      </w:r>
    </w:p>
    <w:p w14:paraId="723A00BE" w14:textId="0A8DC551" w:rsidR="005F1B07" w:rsidRDefault="00875D74" w:rsidP="00875D74">
      <w:pPr>
        <w:pStyle w:val="Caption"/>
        <w:jc w:val="center"/>
      </w:pPr>
      <w:r>
        <w:t xml:space="preserve">Figure </w:t>
      </w:r>
      <w:r>
        <w:fldChar w:fldCharType="begin"/>
      </w:r>
      <w:r>
        <w:instrText xml:space="preserve"> SEQ Figure \* ARABIC </w:instrText>
      </w:r>
      <w:r>
        <w:fldChar w:fldCharType="separate"/>
      </w:r>
      <w:r>
        <w:rPr>
          <w:noProof/>
        </w:rPr>
        <w:t>1</w:t>
      </w:r>
      <w:r>
        <w:fldChar w:fldCharType="end"/>
      </w:r>
      <w:r>
        <w:t>. Capabilities of IMT-2030.</w:t>
      </w:r>
    </w:p>
    <w:p w14:paraId="3040041B" w14:textId="4613DA91" w:rsidR="005F1B07" w:rsidRDefault="000A5A1A" w:rsidP="005F1B07">
      <w:pPr>
        <w:rPr>
          <w:lang w:eastAsia="zh-CN"/>
        </w:rPr>
      </w:pPr>
      <w:r>
        <w:rPr>
          <w:lang w:eastAsia="zh-CN"/>
        </w:rPr>
        <w:t>In this contribution we provide our view on the IMT-2030 Capabilities, including items for which Technical Performance Requirements should be developed, and how compliance for such TPRs is</w:t>
      </w:r>
      <w:r w:rsidR="007550D4">
        <w:rPr>
          <w:lang w:eastAsia="zh-CN"/>
        </w:rPr>
        <w:t xml:space="preserve"> to be </w:t>
      </w:r>
      <w:r>
        <w:rPr>
          <w:lang w:eastAsia="zh-CN"/>
        </w:rPr>
        <w:t xml:space="preserve">evaluated. </w:t>
      </w:r>
    </w:p>
    <w:p w14:paraId="12205638" w14:textId="2D54CFEE" w:rsidR="004E053F" w:rsidRDefault="00841FA0" w:rsidP="00841FA0">
      <w:pPr>
        <w:pStyle w:val="Heading1"/>
      </w:pPr>
      <w:r>
        <w:lastRenderedPageBreak/>
        <w:t>2</w:t>
      </w:r>
      <w:r>
        <w:tab/>
      </w:r>
      <w:r w:rsidR="00D067AB" w:rsidRPr="007B24F2">
        <w:t>D</w:t>
      </w:r>
      <w:r w:rsidR="009113E8" w:rsidRPr="007B24F2">
        <w:t>iscussion</w:t>
      </w:r>
    </w:p>
    <w:p w14:paraId="0DCE2FBD" w14:textId="6E51931E" w:rsidR="00D5543A" w:rsidRDefault="00D5543A" w:rsidP="00D5543A">
      <w:r>
        <w:t>The IMT-2030 capabilities can be roughly split into two groups:</w:t>
      </w:r>
    </w:p>
    <w:p w14:paraId="44112523" w14:textId="4AFA9C23" w:rsidR="00D5543A" w:rsidRDefault="007A7C61" w:rsidP="007A7C61">
      <w:pPr>
        <w:pStyle w:val="ListParagraph"/>
        <w:numPr>
          <w:ilvl w:val="0"/>
          <w:numId w:val="26"/>
        </w:numPr>
      </w:pPr>
      <w:r>
        <w:t>“Legacy”</w:t>
      </w:r>
      <w:r w:rsidR="00473877">
        <w:t xml:space="preserve"> </w:t>
      </w:r>
      <w:r>
        <w:t>C</w:t>
      </w:r>
      <w:r w:rsidR="00D5543A">
        <w:t xml:space="preserve">apabilities that were already present in IMT-2020 (Green colour in Figure 1), and </w:t>
      </w:r>
    </w:p>
    <w:p w14:paraId="6BA56248" w14:textId="28D102EB" w:rsidR="007A7C61" w:rsidRDefault="007A7C61" w:rsidP="007A7C61">
      <w:pPr>
        <w:pStyle w:val="ListParagraph"/>
        <w:numPr>
          <w:ilvl w:val="0"/>
          <w:numId w:val="26"/>
        </w:numPr>
      </w:pPr>
      <w:r>
        <w:t xml:space="preserve">Capabilities that are new </w:t>
      </w:r>
    </w:p>
    <w:p w14:paraId="56D7BA4F" w14:textId="1475044B" w:rsidR="00D5543A" w:rsidRPr="00D5543A" w:rsidRDefault="007A7C61" w:rsidP="00CD0DE6">
      <w:r>
        <w:t>In the following we discuss these two groups of capabilities.</w:t>
      </w:r>
      <w:r w:rsidR="00C85773">
        <w:t xml:space="preserve"> The proposals related to the TPRs as well as High-level evaluation assumptions are provided in Section 3.</w:t>
      </w:r>
    </w:p>
    <w:p w14:paraId="6AA6C926" w14:textId="73BFAC47" w:rsidR="0016710D" w:rsidRDefault="004F01BB" w:rsidP="0016710D">
      <w:pPr>
        <w:pStyle w:val="Heading2"/>
      </w:pPr>
      <w:r>
        <w:t>2.1</w:t>
      </w:r>
      <w:r>
        <w:tab/>
      </w:r>
      <w:r w:rsidR="007A7C61">
        <w:t>Legacy Capabilities Derived from IMT-2020</w:t>
      </w:r>
    </w:p>
    <w:p w14:paraId="04884943" w14:textId="2910432E" w:rsidR="008A3B55" w:rsidRDefault="007A7C61" w:rsidP="0016710D">
      <w:pPr>
        <w:rPr>
          <w:lang w:eastAsia="zh-CN"/>
        </w:rPr>
      </w:pPr>
      <w:r>
        <w:rPr>
          <w:lang w:eastAsia="zh-CN"/>
        </w:rPr>
        <w:t xml:space="preserve">As IMT-2030 is </w:t>
      </w:r>
      <w:r w:rsidR="00783DCA">
        <w:rPr>
          <w:lang w:eastAsia="zh-CN"/>
        </w:rPr>
        <w:t xml:space="preserve">based on </w:t>
      </w:r>
      <w:r w:rsidR="00BF6584">
        <w:rPr>
          <w:lang w:eastAsia="zh-CN"/>
        </w:rPr>
        <w:t>evolution</w:t>
      </w:r>
      <w:r w:rsidR="00783DCA">
        <w:rPr>
          <w:lang w:eastAsia="zh-CN"/>
        </w:rPr>
        <w:t xml:space="preserve"> IMT-2020, the Capabilities defined for IMT-20</w:t>
      </w:r>
      <w:r w:rsidR="00C64AF4">
        <w:rPr>
          <w:lang w:eastAsia="zh-CN"/>
        </w:rPr>
        <w:t>2</w:t>
      </w:r>
      <w:r w:rsidR="00783DCA">
        <w:rPr>
          <w:lang w:eastAsia="zh-CN"/>
        </w:rPr>
        <w:t xml:space="preserve">0 </w:t>
      </w:r>
      <w:r w:rsidR="00BF6584">
        <w:rPr>
          <w:lang w:eastAsia="zh-CN"/>
        </w:rPr>
        <w:t>should</w:t>
      </w:r>
      <w:r w:rsidR="00783DCA">
        <w:rPr>
          <w:lang w:eastAsia="zh-CN"/>
        </w:rPr>
        <w:t xml:space="preserve"> naturally carry over to IMT-2030. The following TPRs were defined in IMT 2020 in relation to the Capabilities:</w:t>
      </w:r>
    </w:p>
    <w:p w14:paraId="423453A8" w14:textId="77777777" w:rsidR="007F4B4B" w:rsidRDefault="007F4B4B" w:rsidP="007F4B4B">
      <w:pPr>
        <w:pStyle w:val="BodyText"/>
        <w:numPr>
          <w:ilvl w:val="0"/>
          <w:numId w:val="28"/>
        </w:numPr>
      </w:pPr>
      <w:r>
        <w:t>Peak data rate</w:t>
      </w:r>
    </w:p>
    <w:p w14:paraId="6C7A3762" w14:textId="77777777" w:rsidR="007F4B4B" w:rsidRDefault="007F4B4B" w:rsidP="007F4B4B">
      <w:pPr>
        <w:pStyle w:val="BodyText"/>
        <w:numPr>
          <w:ilvl w:val="0"/>
          <w:numId w:val="28"/>
        </w:numPr>
      </w:pPr>
      <w:r>
        <w:t>Peak Spectral Efficiency</w:t>
      </w:r>
    </w:p>
    <w:p w14:paraId="27ABA543" w14:textId="77777777" w:rsidR="007F4B4B" w:rsidRDefault="007F4B4B" w:rsidP="007F4B4B">
      <w:pPr>
        <w:pStyle w:val="BodyText"/>
        <w:numPr>
          <w:ilvl w:val="0"/>
          <w:numId w:val="28"/>
        </w:numPr>
      </w:pPr>
      <w:r>
        <w:t>User experienced data rate</w:t>
      </w:r>
    </w:p>
    <w:p w14:paraId="7EEFBC26" w14:textId="77777777" w:rsidR="007F4B4B" w:rsidRDefault="007F4B4B" w:rsidP="007F4B4B">
      <w:pPr>
        <w:pStyle w:val="BodyText"/>
        <w:numPr>
          <w:ilvl w:val="0"/>
          <w:numId w:val="28"/>
        </w:numPr>
      </w:pPr>
      <w:r>
        <w:t>Average Spectral efficiency</w:t>
      </w:r>
    </w:p>
    <w:p w14:paraId="4E120294" w14:textId="77777777" w:rsidR="007F4B4B" w:rsidRDefault="007F4B4B" w:rsidP="007F4B4B">
      <w:pPr>
        <w:pStyle w:val="BodyText"/>
        <w:numPr>
          <w:ilvl w:val="0"/>
          <w:numId w:val="28"/>
        </w:numPr>
      </w:pPr>
      <w:r>
        <w:t>5th percentile user Spectral efficiency</w:t>
      </w:r>
    </w:p>
    <w:p w14:paraId="23F9BC83" w14:textId="77777777" w:rsidR="007F4B4B" w:rsidRDefault="007F4B4B" w:rsidP="007F4B4B">
      <w:pPr>
        <w:pStyle w:val="BodyText"/>
        <w:numPr>
          <w:ilvl w:val="0"/>
          <w:numId w:val="28"/>
        </w:numPr>
      </w:pPr>
      <w:r>
        <w:t>Area traffic capacity</w:t>
      </w:r>
    </w:p>
    <w:p w14:paraId="3EC1B1C6" w14:textId="77777777" w:rsidR="007F4B4B" w:rsidRDefault="007F4B4B" w:rsidP="007F4B4B">
      <w:pPr>
        <w:pStyle w:val="BodyText"/>
        <w:numPr>
          <w:ilvl w:val="0"/>
          <w:numId w:val="28"/>
        </w:numPr>
      </w:pPr>
      <w:r>
        <w:t>Connection Density</w:t>
      </w:r>
    </w:p>
    <w:p w14:paraId="27CDDE02" w14:textId="77777777" w:rsidR="007F4B4B" w:rsidRDefault="007F4B4B" w:rsidP="007F4B4B">
      <w:pPr>
        <w:pStyle w:val="BodyText"/>
        <w:numPr>
          <w:ilvl w:val="0"/>
          <w:numId w:val="28"/>
        </w:numPr>
      </w:pPr>
      <w:r>
        <w:t>Mobility</w:t>
      </w:r>
    </w:p>
    <w:p w14:paraId="1FCACDD7" w14:textId="77777777" w:rsidR="007F4B4B" w:rsidRDefault="007F4B4B" w:rsidP="007F4B4B">
      <w:pPr>
        <w:pStyle w:val="BodyText"/>
        <w:numPr>
          <w:ilvl w:val="0"/>
          <w:numId w:val="28"/>
        </w:numPr>
      </w:pPr>
      <w:r>
        <w:t>Mobility interruption time</w:t>
      </w:r>
    </w:p>
    <w:p w14:paraId="42478626" w14:textId="77777777" w:rsidR="007F4B4B" w:rsidRDefault="007F4B4B" w:rsidP="007F4B4B">
      <w:pPr>
        <w:pStyle w:val="BodyText"/>
        <w:numPr>
          <w:ilvl w:val="0"/>
          <w:numId w:val="28"/>
        </w:numPr>
      </w:pPr>
      <w:r>
        <w:t>User plane latency</w:t>
      </w:r>
    </w:p>
    <w:p w14:paraId="4CF23FDD" w14:textId="77777777" w:rsidR="007F4B4B" w:rsidRDefault="007F4B4B" w:rsidP="007F4B4B">
      <w:pPr>
        <w:pStyle w:val="BodyText"/>
        <w:numPr>
          <w:ilvl w:val="0"/>
          <w:numId w:val="28"/>
        </w:numPr>
      </w:pPr>
      <w:r>
        <w:t>Control plane latency</w:t>
      </w:r>
    </w:p>
    <w:p w14:paraId="0488D5E2" w14:textId="0AA3F00D" w:rsidR="007F4B4B" w:rsidRDefault="007F4B4B" w:rsidP="007F4B4B">
      <w:pPr>
        <w:pStyle w:val="BodyText"/>
        <w:numPr>
          <w:ilvl w:val="0"/>
          <w:numId w:val="28"/>
        </w:numPr>
      </w:pPr>
      <w:r>
        <w:t>Reliability</w:t>
      </w:r>
    </w:p>
    <w:p w14:paraId="64AE44A7" w14:textId="77777777" w:rsidR="007F4B4B" w:rsidRDefault="007F4B4B" w:rsidP="007F4B4B">
      <w:pPr>
        <w:pStyle w:val="BodyText"/>
        <w:numPr>
          <w:ilvl w:val="0"/>
          <w:numId w:val="28"/>
        </w:numPr>
      </w:pPr>
      <w:r>
        <w:t>Energy Efficiency / Sustainability</w:t>
      </w:r>
    </w:p>
    <w:p w14:paraId="5D816D12" w14:textId="51B5AF88" w:rsidR="00162C59" w:rsidRDefault="00162C59" w:rsidP="007F4B4B">
      <w:pPr>
        <w:pStyle w:val="BodyText"/>
        <w:numPr>
          <w:ilvl w:val="0"/>
          <w:numId w:val="28"/>
        </w:numPr>
      </w:pPr>
      <w:r>
        <w:t>Bandwidth</w:t>
      </w:r>
    </w:p>
    <w:p w14:paraId="416D856B" w14:textId="503426AE" w:rsidR="00162C59" w:rsidRDefault="00162C59" w:rsidP="007F4B4B">
      <w:pPr>
        <w:pStyle w:val="BodyText"/>
        <w:numPr>
          <w:ilvl w:val="0"/>
          <w:numId w:val="28"/>
        </w:numPr>
      </w:pPr>
      <w:r w:rsidRPr="00162C59">
        <w:t>Support of wide range of services</w:t>
      </w:r>
    </w:p>
    <w:p w14:paraId="52142612" w14:textId="719A71CA" w:rsidR="00162C59" w:rsidRPr="00CD1FEF" w:rsidRDefault="00A55A56" w:rsidP="007F4B4B">
      <w:pPr>
        <w:pStyle w:val="BodyText"/>
        <w:numPr>
          <w:ilvl w:val="0"/>
          <w:numId w:val="28"/>
        </w:numPr>
      </w:pPr>
      <w:r w:rsidRPr="00A55A56">
        <w:t>Supported spectrum band(s)/range(s)</w:t>
      </w:r>
    </w:p>
    <w:p w14:paraId="1EC4F776" w14:textId="68327102" w:rsidR="00783DCA" w:rsidRDefault="007F4B4B" w:rsidP="0016710D">
      <w:r>
        <w:t>We see that IMT-2030 should support the same TPRs as IMT-2020, while the associated performance number</w:t>
      </w:r>
      <w:r w:rsidR="007550D4">
        <w:t>s</w:t>
      </w:r>
      <w:r>
        <w:t xml:space="preserve"> are expected to be more ambitious. </w:t>
      </w:r>
      <w:r w:rsidR="00582B8C">
        <w:t>The same evaluation methodology can and should be largely re-used as well, to allow for performance comparisons between dif</w:t>
      </w:r>
      <w:r w:rsidR="00E12BB4">
        <w:t>f</w:t>
      </w:r>
      <w:r w:rsidR="00582B8C">
        <w:t xml:space="preserve">erent </w:t>
      </w:r>
      <w:r w:rsidR="00E12BB4">
        <w:t>generations of radio standards, and to avoid</w:t>
      </w:r>
      <w:r w:rsidR="00582B8C">
        <w:t xml:space="preserve"> unne</w:t>
      </w:r>
      <w:r w:rsidR="00E12BB4">
        <w:t>cessary</w:t>
      </w:r>
      <w:r w:rsidR="00582B8C">
        <w:t xml:space="preserve"> </w:t>
      </w:r>
      <w:r w:rsidR="00E12BB4">
        <w:t>work in both ITU-R and 3GP</w:t>
      </w:r>
      <w:r w:rsidR="002C2BC2">
        <w:t xml:space="preserve">P. However, in some cases there is a need to consider extension of the </w:t>
      </w:r>
      <w:r w:rsidR="000462BF">
        <w:t>IMT-2020 TPRs to better reflect the target Usage Scenarios of IMT-2030. In some other cases, IMT-2020 already provides more than satisfactory performance, and the requirements will not need to be stretched further</w:t>
      </w:r>
      <w:r w:rsidR="00985469">
        <w:t xml:space="preserve">. </w:t>
      </w:r>
      <w:r w:rsidR="39E03E13">
        <w:t xml:space="preserve">Below we discuss further some of the legacy TPRs. </w:t>
      </w:r>
      <w:r w:rsidR="00F268F7">
        <w:t>The related proposals are summarize</w:t>
      </w:r>
      <w:r w:rsidR="00C85773">
        <w:t>d</w:t>
      </w:r>
      <w:r w:rsidR="00F268F7">
        <w:t xml:space="preserve"> in Table 1 in Section 3.</w:t>
      </w:r>
    </w:p>
    <w:p w14:paraId="71EF9738" w14:textId="17EA9A67" w:rsidR="000462BF" w:rsidRDefault="000462BF" w:rsidP="0016710D">
      <w:r w:rsidRPr="00504A16">
        <w:rPr>
          <w:b/>
          <w:bCs/>
          <w:u w:val="single"/>
        </w:rPr>
        <w:t>Reliability</w:t>
      </w:r>
      <w:r>
        <w:t>:</w:t>
      </w:r>
    </w:p>
    <w:p w14:paraId="7FD7CE18" w14:textId="1670D0F0" w:rsidR="005278E9" w:rsidRDefault="00504A16" w:rsidP="0016710D">
      <w:r>
        <w:t xml:space="preserve">Reliability TPR in IMT-2020 was targeting </w:t>
      </w:r>
      <w:proofErr w:type="gramStart"/>
      <w:r>
        <w:t>in particular the</w:t>
      </w:r>
      <w:proofErr w:type="gramEnd"/>
      <w:r>
        <w:t xml:space="preserve"> </w:t>
      </w:r>
      <w:r w:rsidR="00F42C3C">
        <w:t>U</w:t>
      </w:r>
      <w:r>
        <w:t xml:space="preserve">RLLC Usage Scenario, with very low User Plane latency (down to 1ms) supported for </w:t>
      </w:r>
      <w:r w:rsidR="00F42C3C">
        <w:t>small application data (e.g.</w:t>
      </w:r>
      <w:r w:rsidR="007550D4">
        <w:t xml:space="preserve"> </w:t>
      </w:r>
      <w:r w:rsidR="00F42C3C">
        <w:t>20 bytes)</w:t>
      </w:r>
      <w:r>
        <w:t xml:space="preserve">. </w:t>
      </w:r>
      <w:r w:rsidR="005278E9">
        <w:t>Given that radio air interface latency is only one of the components impactin</w:t>
      </w:r>
      <w:r w:rsidR="007550D4">
        <w:t>g</w:t>
      </w:r>
      <w:r w:rsidR="005278E9">
        <w:t xml:space="preserve"> the end-to-end latency, </w:t>
      </w:r>
      <w:r w:rsidR="00395E59">
        <w:t xml:space="preserve">and other delay components such as propagation times to servers and related processing times are of the same or larger order, </w:t>
      </w:r>
      <w:r w:rsidR="005278E9">
        <w:t>the IMR-2020 requirements for URLLC are sufficient also to meet the needs of IMT-2030.</w:t>
      </w:r>
    </w:p>
    <w:p w14:paraId="016411DC" w14:textId="0DD0510D" w:rsidR="000462BF" w:rsidRDefault="00504A16" w:rsidP="0016710D">
      <w:r>
        <w:t xml:space="preserve">While URLLC remains </w:t>
      </w:r>
      <w:r w:rsidR="007550D4">
        <w:t>to be</w:t>
      </w:r>
      <w:r w:rsidR="00EB5A72">
        <w:t xml:space="preserve"> </w:t>
      </w:r>
      <w:r>
        <w:t>an important use case for IMT-2030, there are a</w:t>
      </w:r>
      <w:r w:rsidR="00F42C3C">
        <w:t xml:space="preserve">lso new usage scenarios, where low latency </w:t>
      </w:r>
      <w:r w:rsidR="005278E9">
        <w:t xml:space="preserve">(in the order of a few </w:t>
      </w:r>
      <w:proofErr w:type="spellStart"/>
      <w:r w:rsidR="005278E9">
        <w:t>ms</w:t>
      </w:r>
      <w:proofErr w:type="spellEnd"/>
      <w:r w:rsidR="005278E9">
        <w:t xml:space="preserve">) </w:t>
      </w:r>
      <w:r w:rsidR="00F42C3C">
        <w:t xml:space="preserve">is </w:t>
      </w:r>
      <w:r w:rsidR="000F34EC">
        <w:t>combined with larger data packet sizes</w:t>
      </w:r>
      <w:r w:rsidR="005278E9">
        <w:t xml:space="preserve"> (e.g. a few M</w:t>
      </w:r>
      <w:r w:rsidR="003372F6">
        <w:t>B</w:t>
      </w:r>
      <w:r w:rsidR="005278E9">
        <w:t>s). Use cases for such data rates and latencies include e.g. XR, video conferencing, and support for emerging AI based services. There</w:t>
      </w:r>
      <w:r w:rsidR="00395E59">
        <w:t xml:space="preserve">fore IMT-2030 TPRs should account for also </w:t>
      </w:r>
      <w:r w:rsidR="00D171EA">
        <w:t xml:space="preserve">such types of services, and defining new performance requirements for </w:t>
      </w:r>
      <w:r w:rsidR="00543195">
        <w:t>moderately low latency in combination with larger packet sizes should be considered.</w:t>
      </w:r>
      <w:r w:rsidR="005278E9">
        <w:t xml:space="preserve"> </w:t>
      </w:r>
    </w:p>
    <w:p w14:paraId="6581E60D" w14:textId="2548B6D8" w:rsidR="000462BF" w:rsidRPr="00504A16" w:rsidRDefault="000462BF" w:rsidP="00F7352D">
      <w:pPr>
        <w:pStyle w:val="BodyText"/>
        <w:keepNext/>
        <w:rPr>
          <w:b/>
          <w:bCs/>
          <w:u w:val="single"/>
        </w:rPr>
      </w:pPr>
      <w:r w:rsidRPr="00504A16">
        <w:rPr>
          <w:b/>
          <w:bCs/>
          <w:u w:val="single"/>
        </w:rPr>
        <w:lastRenderedPageBreak/>
        <w:t>Energy Efficiency / Sustainability:</w:t>
      </w:r>
    </w:p>
    <w:p w14:paraId="423B4875" w14:textId="59C4ADA2" w:rsidR="00376F5D" w:rsidRDefault="00376F5D" w:rsidP="00F7352D">
      <w:pPr>
        <w:keepNext/>
        <w:rPr>
          <w:lang w:val="en-US"/>
        </w:rPr>
      </w:pPr>
      <w:r>
        <w:rPr>
          <w:lang w:val="en-US"/>
        </w:rPr>
        <w:t xml:space="preserve">Sustainability is a key design target for the forthcoming 6G deployments and devices. Sustainability is a very broad field, including aspects related to manufacturing, deployment and operation during the </w:t>
      </w:r>
      <w:proofErr w:type="gramStart"/>
      <w:r>
        <w:rPr>
          <w:lang w:val="en-US"/>
        </w:rPr>
        <w:t>life-time</w:t>
      </w:r>
      <w:proofErr w:type="gramEnd"/>
      <w:r>
        <w:rPr>
          <w:lang w:val="en-US"/>
        </w:rPr>
        <w:t xml:space="preserve"> of the 6G networks and devices. Most of the aspects affecting overall sustainability of 6G are not directly related to standards, but rather on how the equipment is manufactured and </w:t>
      </w:r>
      <w:r w:rsidR="00992592">
        <w:rPr>
          <w:lang w:val="en-US"/>
        </w:rPr>
        <w:t>operated and</w:t>
      </w:r>
      <w:r>
        <w:rPr>
          <w:lang w:val="en-US"/>
        </w:rPr>
        <w:t xml:space="preserve"> </w:t>
      </w:r>
      <w:r w:rsidR="00992592">
        <w:rPr>
          <w:lang w:val="en-US"/>
        </w:rPr>
        <w:t xml:space="preserve">are </w:t>
      </w:r>
      <w:r>
        <w:rPr>
          <w:lang w:val="en-US"/>
        </w:rPr>
        <w:t>hence not within the scope of IMT-2030 TPRs.</w:t>
      </w:r>
    </w:p>
    <w:p w14:paraId="775794FB" w14:textId="723B9576" w:rsidR="00376F5D" w:rsidRDefault="00376F5D" w:rsidP="008E7798">
      <w:pPr>
        <w:rPr>
          <w:lang w:val="en-US"/>
        </w:rPr>
      </w:pPr>
      <w:r>
        <w:rPr>
          <w:lang w:val="en-US"/>
        </w:rPr>
        <w:t>Energy efficiency is a key aspect for operation of IMT-2030 networks</w:t>
      </w:r>
      <w:r w:rsidR="00BF0B21">
        <w:rPr>
          <w:lang w:val="en-US"/>
        </w:rPr>
        <w:t xml:space="preserve"> and UEs</w:t>
      </w:r>
      <w:r>
        <w:rPr>
          <w:lang w:val="en-US"/>
        </w:rPr>
        <w:t>, affecting overall sustainability as well as operational cost</w:t>
      </w:r>
      <w:r w:rsidR="00A1266B">
        <w:rPr>
          <w:lang w:val="en-US"/>
        </w:rPr>
        <w:t xml:space="preserve"> and user experience</w:t>
      </w:r>
      <w:r>
        <w:rPr>
          <w:lang w:val="en-US"/>
        </w:rPr>
        <w:t>. It is also possible to define quantifiable technical performance requirements for energy efficiency. Therefore</w:t>
      </w:r>
      <w:r w:rsidR="00992592">
        <w:rPr>
          <w:lang w:val="en-US"/>
        </w:rPr>
        <w:t>,</w:t>
      </w:r>
      <w:r>
        <w:rPr>
          <w:lang w:val="en-US"/>
        </w:rPr>
        <w:t xml:space="preserve"> it makes sense to focus on EE, and in particular network EE when considering IMT-2030 related TPRs for sustainability.</w:t>
      </w:r>
    </w:p>
    <w:p w14:paraId="75FB6847" w14:textId="517CC492" w:rsidR="00376F5D" w:rsidRDefault="00376F5D" w:rsidP="008E7798">
      <w:pPr>
        <w:rPr>
          <w:lang w:val="en-US"/>
        </w:rPr>
      </w:pPr>
      <w:r>
        <w:rPr>
          <w:lang w:val="en-US"/>
        </w:rPr>
        <w:t xml:space="preserve">When considering evaluation of EE, one should focus on defining requirements in a way that is agnostic to the exact type of implementation, which is not dictated by the standards. Instead, the requirements should verify the fundamental properties of radio standards that facilitate energy efficient operation. In IMT-2020 there were no numerical requirements set for EE, but instead network and UE energy efficiency </w:t>
      </w:r>
      <w:r w:rsidR="008113C2">
        <w:rPr>
          <w:lang w:val="en-US"/>
        </w:rPr>
        <w:t>w</w:t>
      </w:r>
      <w:r w:rsidR="00D3072D">
        <w:rPr>
          <w:lang w:val="en-US"/>
        </w:rPr>
        <w:t>ere</w:t>
      </w:r>
      <w:r w:rsidR="008113C2">
        <w:rPr>
          <w:lang w:val="en-US"/>
        </w:rPr>
        <w:t xml:space="preserve"> </w:t>
      </w:r>
      <w:r>
        <w:rPr>
          <w:lang w:val="en-US"/>
        </w:rPr>
        <w:t xml:space="preserve">verified by inspection of support for high sleep ratio and duration, i.e. the network’s transmission rate </w:t>
      </w:r>
      <w:r w:rsidR="00EC75FB">
        <w:rPr>
          <w:lang w:val="en-US"/>
        </w:rPr>
        <w:t xml:space="preserve">of </w:t>
      </w:r>
      <w:r>
        <w:rPr>
          <w:lang w:val="en-US"/>
        </w:rPr>
        <w:t>signals in case of an unloaded cell. We see that similar approach can be the starting point for IMT-2030 as well.</w:t>
      </w:r>
    </w:p>
    <w:p w14:paraId="48DC58D0" w14:textId="3A8DE510" w:rsidR="00376F5D" w:rsidRDefault="00376F5D" w:rsidP="008E7798">
      <w:pPr>
        <w:rPr>
          <w:lang w:val="en-US"/>
        </w:rPr>
      </w:pPr>
      <w:r>
        <w:rPr>
          <w:lang w:val="en-US"/>
        </w:rPr>
        <w:t>While IMT-20</w:t>
      </w:r>
      <w:r w:rsidR="008F65AB">
        <w:rPr>
          <w:lang w:val="en-US"/>
        </w:rPr>
        <w:t>2</w:t>
      </w:r>
      <w:r>
        <w:rPr>
          <w:lang w:val="en-US"/>
        </w:rPr>
        <w:t>0 did not set specific requirements for sleep ratio and sleep duration, considering the constantly increasing importance of energy efficiency</w:t>
      </w:r>
      <w:r w:rsidR="00A64DB5">
        <w:rPr>
          <w:lang w:val="en-US"/>
        </w:rPr>
        <w:t>,</w:t>
      </w:r>
      <w:r>
        <w:rPr>
          <w:lang w:val="en-US"/>
        </w:rPr>
        <w:t xml:space="preserve"> IMT-2030 should adopt a more advanced approach and set quantifiable TPRs for EE. There are two main </w:t>
      </w:r>
      <w:r w:rsidR="00EE63D1">
        <w:rPr>
          <w:lang w:val="en-US"/>
        </w:rPr>
        <w:t>alternatives considered at ITU-R WP 5D</w:t>
      </w:r>
      <w:r w:rsidR="00AC136E">
        <w:rPr>
          <w:lang w:val="en-US"/>
        </w:rPr>
        <w:t>:</w:t>
      </w:r>
    </w:p>
    <w:p w14:paraId="05AB8AE7" w14:textId="77777777" w:rsidR="00B8584E" w:rsidRPr="00EF437D" w:rsidRDefault="00B8584E" w:rsidP="00B8584E">
      <w:pPr>
        <w:ind w:left="284"/>
        <w:rPr>
          <w:lang w:val="en-US"/>
        </w:rPr>
      </w:pPr>
      <w:r w:rsidRPr="00EF437D">
        <w:rPr>
          <w:u w:val="single"/>
          <w:lang w:val="en-US"/>
        </w:rPr>
        <w:t>Approach A:</w:t>
      </w:r>
      <w:r w:rsidRPr="00EF437D">
        <w:rPr>
          <w:lang w:val="en-US"/>
        </w:rPr>
        <w:t xml:space="preserve"> An approach </w:t>
      </w:r>
      <w:proofErr w:type="gramStart"/>
      <w:r w:rsidRPr="00EF437D">
        <w:rPr>
          <w:lang w:val="en-US"/>
        </w:rPr>
        <w:t>similar to</w:t>
      </w:r>
      <w:proofErr w:type="gramEnd"/>
      <w:r w:rsidRPr="00EF437D">
        <w:rPr>
          <w:lang w:val="en-US"/>
        </w:rPr>
        <w:t xml:space="preserve"> IMT-2020, but with specific requirements set for sleep ratio (e.g. &gt; 95 %) and sleep duration (e.g. &gt; 20 </w:t>
      </w:r>
      <w:proofErr w:type="spellStart"/>
      <w:r w:rsidRPr="00EF437D">
        <w:rPr>
          <w:lang w:val="en-US"/>
        </w:rPr>
        <w:t>ms</w:t>
      </w:r>
      <w:proofErr w:type="spellEnd"/>
      <w:r w:rsidRPr="00EF437D">
        <w:rPr>
          <w:lang w:val="en-US"/>
        </w:rPr>
        <w:t>). Analytical approach can be used to verify that and RIT/SRIT meets the set requirements.</w:t>
      </w:r>
    </w:p>
    <w:p w14:paraId="20FC8095" w14:textId="4FD51A7D" w:rsidR="00B8584E" w:rsidRDefault="00B8584E" w:rsidP="00B8584E">
      <w:pPr>
        <w:ind w:left="284"/>
        <w:rPr>
          <w:lang w:val="en-US"/>
        </w:rPr>
      </w:pPr>
      <w:r w:rsidRPr="00EF437D">
        <w:rPr>
          <w:u w:val="single"/>
          <w:lang w:val="en-US"/>
        </w:rPr>
        <w:t>Approach B</w:t>
      </w:r>
      <w:r>
        <w:rPr>
          <w:lang w:val="en-US"/>
        </w:rPr>
        <w:t xml:space="preserve">: </w:t>
      </w:r>
      <w:r w:rsidRPr="00EF437D">
        <w:rPr>
          <w:lang w:val="en-US"/>
        </w:rPr>
        <w:t>Setting limit for the relative energy consumption in an unloaded case when compared to a fully loaded case.</w:t>
      </w:r>
      <w:r>
        <w:rPr>
          <w:lang w:val="en-US"/>
        </w:rPr>
        <w:t xml:space="preserve"> The requirement may be defined e.g. in terms of a percentage, such as 5%.</w:t>
      </w:r>
      <w:r w:rsidRPr="00EF437D">
        <w:rPr>
          <w:lang w:val="en-US"/>
        </w:rPr>
        <w:t xml:space="preserve"> This approach involves use of base station power models, that model the relative power consumption of different types of transmissions as well as transitions between them. The TPR can be evaluated analytically or with a relatively simple simulation, where the power model is applied on top a minimum set of transmissions in a case where there is no data traffic in a cell</w:t>
      </w:r>
      <w:r>
        <w:rPr>
          <w:lang w:val="en-US"/>
        </w:rPr>
        <w:t>.</w:t>
      </w:r>
    </w:p>
    <w:p w14:paraId="11DDA49B" w14:textId="06609577" w:rsidR="00B8584E" w:rsidRDefault="00B8584E" w:rsidP="00B8584E">
      <w:pPr>
        <w:rPr>
          <w:lang w:val="en-US"/>
        </w:rPr>
      </w:pPr>
      <w:r>
        <w:rPr>
          <w:lang w:val="en-US"/>
        </w:rPr>
        <w:t xml:space="preserve">The two approaches described above are both ultimately analyzing the same thing, i.e. the minimum </w:t>
      </w:r>
      <w:proofErr w:type="gramStart"/>
      <w:r>
        <w:rPr>
          <w:lang w:val="en-US"/>
        </w:rPr>
        <w:t>amount</w:t>
      </w:r>
      <w:proofErr w:type="gramEnd"/>
      <w:r>
        <w:rPr>
          <w:lang w:val="en-US"/>
        </w:rPr>
        <w:t xml:space="preserve"> of transmissions occurring in a cell with no data traffic. Approach A is simpler in terms of definition in ITU-R, as well as analysis. Approach B provides more insight on how the actual network energy consumption varies between the fully loaded and unloaded cases; the downside is more complicated definition (especially the power model) and evaluation. Regarding the power model, 3GPP has developed and applied power models in past studies, but such models are not universally applicable </w:t>
      </w:r>
      <w:r w:rsidR="00580B41">
        <w:rPr>
          <w:lang w:val="en-US"/>
        </w:rPr>
        <w:t xml:space="preserve">nor </w:t>
      </w:r>
      <w:r>
        <w:rPr>
          <w:lang w:val="en-US"/>
        </w:rPr>
        <w:t>technology agnostic, since they assume certain specific types of signals and protocols to be applied, that may not be present in other standards. Therefore, for Approach B to work, a simple and technology agnostic power model should be agreed upon at ITU-R WP 5D, or the power model should be left for the technology proponent to provide.</w:t>
      </w:r>
      <w:r w:rsidR="00561258">
        <w:rPr>
          <w:lang w:val="en-US"/>
        </w:rPr>
        <w:t xml:space="preserve"> </w:t>
      </w:r>
      <w:r w:rsidR="009649A2">
        <w:rPr>
          <w:lang w:val="en-US"/>
        </w:rPr>
        <w:t xml:space="preserve">This is unlikely </w:t>
      </w:r>
      <w:r w:rsidR="00D306C6">
        <w:rPr>
          <w:lang w:val="en-US"/>
        </w:rPr>
        <w:t>to be</w:t>
      </w:r>
      <w:r w:rsidR="009649A2">
        <w:rPr>
          <w:lang w:val="en-US"/>
        </w:rPr>
        <w:t xml:space="preserve"> a trivial </w:t>
      </w:r>
      <w:r w:rsidR="00EC47B9">
        <w:rPr>
          <w:lang w:val="en-US"/>
        </w:rPr>
        <w:t>discussion at ITU-R</w:t>
      </w:r>
      <w:r w:rsidR="00852627">
        <w:rPr>
          <w:lang w:val="en-US"/>
        </w:rPr>
        <w:t>.  Given that a</w:t>
      </w:r>
      <w:r w:rsidR="0086508C">
        <w:rPr>
          <w:lang w:val="en-US"/>
        </w:rPr>
        <w:t xml:space="preserve">pproach A </w:t>
      </w:r>
      <w:r w:rsidR="00D936E3">
        <w:rPr>
          <w:lang w:val="en-US"/>
        </w:rPr>
        <w:t xml:space="preserve">avoids this extra </w:t>
      </w:r>
      <w:r w:rsidR="00AA6642">
        <w:rPr>
          <w:lang w:val="en-US"/>
        </w:rPr>
        <w:t>hurdle</w:t>
      </w:r>
      <w:r w:rsidR="00852627">
        <w:rPr>
          <w:lang w:val="en-US"/>
        </w:rPr>
        <w:t xml:space="preserve"> while capturing the same </w:t>
      </w:r>
      <w:r w:rsidR="00FE685D">
        <w:rPr>
          <w:lang w:val="en-US"/>
        </w:rPr>
        <w:t xml:space="preserve">amount of </w:t>
      </w:r>
      <w:r w:rsidR="00852627">
        <w:rPr>
          <w:lang w:val="en-US"/>
        </w:rPr>
        <w:t>information about the energy efficiency</w:t>
      </w:r>
      <w:r w:rsidR="00106534">
        <w:rPr>
          <w:lang w:val="en-US"/>
        </w:rPr>
        <w:t xml:space="preserve"> of the different systems</w:t>
      </w:r>
      <w:r w:rsidR="00852627">
        <w:rPr>
          <w:lang w:val="en-US"/>
        </w:rPr>
        <w:t>, our preference is</w:t>
      </w:r>
      <w:r w:rsidR="00D10FC1">
        <w:rPr>
          <w:lang w:val="en-US"/>
        </w:rPr>
        <w:t xml:space="preserve"> to adopt approach A in ITU-R.</w:t>
      </w:r>
      <w:r w:rsidR="00561258">
        <w:rPr>
          <w:lang w:val="en-US"/>
        </w:rPr>
        <w:t xml:space="preserve"> </w:t>
      </w:r>
    </w:p>
    <w:p w14:paraId="591E32D2" w14:textId="783AA11E" w:rsidR="0060088D" w:rsidRPr="0060088D" w:rsidRDefault="0060088D" w:rsidP="00B8584E">
      <w:pPr>
        <w:rPr>
          <w:b/>
          <w:bCs/>
          <w:u w:val="single"/>
          <w:lang w:val="en-US"/>
        </w:rPr>
      </w:pPr>
      <w:r w:rsidRPr="0060088D">
        <w:rPr>
          <w:b/>
          <w:bCs/>
          <w:u w:val="single"/>
          <w:lang w:val="en-US"/>
        </w:rPr>
        <w:t>Security and Resilience:</w:t>
      </w:r>
    </w:p>
    <w:p w14:paraId="0D687289" w14:textId="09D66C09" w:rsidR="000462BF" w:rsidRDefault="0060088D" w:rsidP="0016710D">
      <w:r>
        <w:t xml:space="preserve">Security and Resilience are </w:t>
      </w:r>
      <w:r w:rsidR="00D31E68">
        <w:t xml:space="preserve">key targets for the design of both 5G s well as 6G. Both </w:t>
      </w:r>
      <w:r w:rsidR="00BB33E8">
        <w:t xml:space="preserve">Security and Resilience </w:t>
      </w:r>
      <w:r w:rsidR="00D31E68">
        <w:t xml:space="preserve">are </w:t>
      </w:r>
      <w:r w:rsidR="00BB33E8">
        <w:t xml:space="preserve">broad </w:t>
      </w:r>
      <w:r w:rsidR="007D157B">
        <w:t>concepts</w:t>
      </w:r>
      <w:r w:rsidR="00BB33E8">
        <w:t xml:space="preserve">, including aspects </w:t>
      </w:r>
      <w:r w:rsidR="00083827">
        <w:t xml:space="preserve">going beyond radio standards and scope of ITU-R WP 5D. It is </w:t>
      </w:r>
      <w:r w:rsidR="0029572D">
        <w:t xml:space="preserve">clearly impractical to define numerical requirements for security and resilience, and hence these two </w:t>
      </w:r>
      <w:r w:rsidR="00A67EC2">
        <w:t>capabilities were not having specific TPRs in IMT-2020; instead</w:t>
      </w:r>
      <w:r w:rsidR="00F7352D">
        <w:t>,</w:t>
      </w:r>
      <w:r w:rsidR="00A67EC2">
        <w:t xml:space="preserve"> the</w:t>
      </w:r>
      <w:r w:rsidR="001F71EA">
        <w:t xml:space="preserve"> </w:t>
      </w:r>
      <w:r w:rsidR="00A67EC2">
        <w:t>related aspects w</w:t>
      </w:r>
      <w:r w:rsidR="001F71EA">
        <w:t>e</w:t>
      </w:r>
      <w:r w:rsidR="00A67EC2">
        <w:t>re considered in the</w:t>
      </w:r>
      <w:r w:rsidR="001F71EA">
        <w:t xml:space="preserve"> </w:t>
      </w:r>
      <w:r w:rsidR="00A25C12">
        <w:t>Submission</w:t>
      </w:r>
      <w:r w:rsidR="001F71EA">
        <w:t xml:space="preserve"> Template, where technology proponents were </w:t>
      </w:r>
      <w:r w:rsidR="007D157B">
        <w:t>t</w:t>
      </w:r>
      <w:r w:rsidR="001F71EA">
        <w:t>asked to verbally provide information on how the RAT in question supports these aspects.</w:t>
      </w:r>
    </w:p>
    <w:p w14:paraId="0F98B518" w14:textId="1C55EE58" w:rsidR="00E95E41" w:rsidRDefault="00F7352D" w:rsidP="0016710D">
      <w:r>
        <w:t>As</w:t>
      </w:r>
      <w:r w:rsidR="00E95E41">
        <w:t xml:space="preserve"> in </w:t>
      </w:r>
      <w:r>
        <w:t>5</w:t>
      </w:r>
      <w:r w:rsidR="00E95E41">
        <w:t>G, it remain</w:t>
      </w:r>
      <w:r w:rsidR="36DBBA6A">
        <w:t>s</w:t>
      </w:r>
      <w:r w:rsidR="00E95E41">
        <w:t xml:space="preserve"> </w:t>
      </w:r>
      <w:r w:rsidR="004A6D5B">
        <w:t xml:space="preserve">impossible to define numerical targets for Security and Resilience. </w:t>
      </w:r>
      <w:r w:rsidR="005972E1">
        <w:t xml:space="preserve">However, verbal description on the supported </w:t>
      </w:r>
      <w:r w:rsidR="00175E8B">
        <w:t xml:space="preserve">security mechanisms and means to guarantee resilient operation should be provided, either using the </w:t>
      </w:r>
      <w:r w:rsidR="00A25C12">
        <w:t>Submission</w:t>
      </w:r>
      <w:r w:rsidR="00F57F28">
        <w:t xml:space="preserve"> template as in IMT-20</w:t>
      </w:r>
      <w:r w:rsidR="00923C07">
        <w:t>2</w:t>
      </w:r>
      <w:r w:rsidR="00F57F28">
        <w:t xml:space="preserve">0, or by </w:t>
      </w:r>
      <w:r w:rsidR="00E7584E">
        <w:t xml:space="preserve">defining </w:t>
      </w:r>
      <w:r w:rsidR="00F57F28">
        <w:t>a TPR</w:t>
      </w:r>
      <w:r w:rsidR="00E7584E">
        <w:t xml:space="preserve"> that is evaluated by “Inspection”. The latter approach may be considered especially for Re</w:t>
      </w:r>
      <w:r w:rsidR="007024CA">
        <w:t>s</w:t>
      </w:r>
      <w:r w:rsidR="00E7584E">
        <w:t>ilience.</w:t>
      </w:r>
      <w:r w:rsidR="00F57F28">
        <w:t xml:space="preserve"> </w:t>
      </w:r>
      <w:r w:rsidR="005972E1">
        <w:t xml:space="preserve"> </w:t>
      </w:r>
    </w:p>
    <w:p w14:paraId="4AA03FBC" w14:textId="216614F6" w:rsidR="00CD0DE6" w:rsidRDefault="63E77457" w:rsidP="79C377AA">
      <w:pPr>
        <w:rPr>
          <w:b/>
          <w:bCs/>
        </w:rPr>
      </w:pPr>
      <w:r w:rsidRPr="79C377AA">
        <w:rPr>
          <w:b/>
          <w:bCs/>
          <w:u w:val="single"/>
        </w:rPr>
        <w:t>Bandwidth</w:t>
      </w:r>
      <w:r w:rsidRPr="79C377AA">
        <w:rPr>
          <w:b/>
          <w:bCs/>
        </w:rPr>
        <w:t>:</w:t>
      </w:r>
    </w:p>
    <w:p w14:paraId="77DB4DC1" w14:textId="51CF7E63" w:rsidR="00CD0DE6" w:rsidRDefault="63E77457" w:rsidP="0016710D">
      <w:r>
        <w:t>The minimum requirement for bandwidth in IMT-2020 was 100 MHz for frequencies corresponding to (approximately) FR1.</w:t>
      </w:r>
      <w:r w:rsidR="7526EBB3">
        <w:t xml:space="preserve"> In IMT-2030 the requirement for bandwidth should be larger.   </w:t>
      </w:r>
      <w:r w:rsidR="54629CCC">
        <w:t xml:space="preserve">We propose to set the requirement for bandwidth to be at least 400 </w:t>
      </w:r>
      <w:proofErr w:type="spellStart"/>
      <w:r w:rsidR="54629CCC">
        <w:t>MHz.</w:t>
      </w:r>
      <w:proofErr w:type="spellEnd"/>
      <w:r w:rsidR="54629CCC">
        <w:t xml:space="preserve"> This can be achieved by e.g. a single carrier with 400 MHz channel bandwidth, or with carrier aggregation of two 200 MHz carrier</w:t>
      </w:r>
      <w:r w:rsidR="0F3B683C">
        <w:t>s</w:t>
      </w:r>
      <w:r w:rsidR="54629CCC">
        <w:t>.</w:t>
      </w:r>
    </w:p>
    <w:p w14:paraId="007F62B0" w14:textId="7E808175" w:rsidR="004F01BB" w:rsidRDefault="004F01BB" w:rsidP="004F01BB">
      <w:pPr>
        <w:pStyle w:val="Heading2"/>
      </w:pPr>
      <w:r>
        <w:lastRenderedPageBreak/>
        <w:t>2.</w:t>
      </w:r>
      <w:r w:rsidR="0016710D">
        <w:t>2</w:t>
      </w:r>
      <w:r>
        <w:tab/>
      </w:r>
      <w:r w:rsidR="00BF6584">
        <w:t>New Capabilities of</w:t>
      </w:r>
      <w:r w:rsidR="00FA4C16">
        <w:t xml:space="preserve"> IMT-2030</w:t>
      </w:r>
    </w:p>
    <w:p w14:paraId="090C6905" w14:textId="77777777" w:rsidR="00104F91" w:rsidRDefault="00946705" w:rsidP="00FA4C16">
      <w:pPr>
        <w:rPr>
          <w:lang w:val="en-US"/>
        </w:rPr>
      </w:pPr>
      <w:r>
        <w:rPr>
          <w:lang w:val="en-US"/>
        </w:rPr>
        <w:t xml:space="preserve">In addition to the Capabilities that were already present in IMT-2020, IMT-2030 also </w:t>
      </w:r>
      <w:r w:rsidR="00BE4FE7">
        <w:rPr>
          <w:lang w:val="en-US"/>
        </w:rPr>
        <w:t>defines a set of new Capabilities, extending the use</w:t>
      </w:r>
      <w:r w:rsidR="00104F91">
        <w:rPr>
          <w:lang w:val="en-US"/>
        </w:rPr>
        <w:t xml:space="preserve"> of 6G to new use cases. These are discussed in the following.</w:t>
      </w:r>
    </w:p>
    <w:p w14:paraId="69264DFC" w14:textId="30C74E22" w:rsidR="00104F91" w:rsidRDefault="00104F91" w:rsidP="00FA4C16">
      <w:pPr>
        <w:rPr>
          <w:b/>
          <w:bCs/>
          <w:lang w:val="en-US"/>
        </w:rPr>
      </w:pPr>
      <w:r w:rsidRPr="0083540D">
        <w:rPr>
          <w:b/>
          <w:bCs/>
          <w:u w:val="single"/>
          <w:lang w:val="en-US"/>
        </w:rPr>
        <w:t>Positioning</w:t>
      </w:r>
      <w:r w:rsidRPr="00E95AC6">
        <w:rPr>
          <w:b/>
          <w:bCs/>
          <w:lang w:val="en-US"/>
        </w:rPr>
        <w:t>:</w:t>
      </w:r>
    </w:p>
    <w:p w14:paraId="495297F7" w14:textId="3D046A81" w:rsidR="00E95AC6" w:rsidRPr="00E95AC6" w:rsidRDefault="00E95AC6" w:rsidP="00FA4C16">
      <w:pPr>
        <w:rPr>
          <w:lang w:val="en-US"/>
        </w:rPr>
      </w:pPr>
      <w:r w:rsidRPr="00E95AC6">
        <w:rPr>
          <w:lang w:val="en-US"/>
        </w:rPr>
        <w:t>While</w:t>
      </w:r>
      <w:r>
        <w:rPr>
          <w:lang w:val="en-US"/>
        </w:rPr>
        <w:t xml:space="preserve"> Positioning is a new capability to ITU-R, present 3GPP standards for NR already provide </w:t>
      </w:r>
      <w:r w:rsidR="00B66AB3">
        <w:rPr>
          <w:lang w:val="en-US"/>
        </w:rPr>
        <w:t xml:space="preserve">support </w:t>
      </w:r>
      <w:r w:rsidR="00D17754">
        <w:rPr>
          <w:lang w:val="en-US"/>
        </w:rPr>
        <w:t xml:space="preserve">for </w:t>
      </w:r>
      <w:r w:rsidR="00B66AB3">
        <w:rPr>
          <w:lang w:val="en-US"/>
        </w:rPr>
        <w:t xml:space="preserve">multiple positioning techniques. Technical performance requirements should be defined for selected use cases (e.g. indoor and outdoor), considering also that practically achievable positioning accuracy is largely deployment dependent. The current IMT-2030 research target for positioning accuracy </w:t>
      </w:r>
      <w:r w:rsidR="003A4A0F">
        <w:rPr>
          <w:lang w:val="en-US"/>
        </w:rPr>
        <w:t xml:space="preserve">(sub-meter level) </w:t>
      </w:r>
      <w:r w:rsidR="00B66AB3">
        <w:rPr>
          <w:lang w:val="en-US"/>
        </w:rPr>
        <w:t>is</w:t>
      </w:r>
      <w:r w:rsidR="003A4A0F">
        <w:rPr>
          <w:lang w:val="en-US"/>
        </w:rPr>
        <w:t xml:space="preserve"> only feasible with certain spe</w:t>
      </w:r>
      <w:r w:rsidR="0083540D">
        <w:rPr>
          <w:lang w:val="en-US"/>
        </w:rPr>
        <w:t>ci</w:t>
      </w:r>
      <w:r w:rsidR="003A4A0F">
        <w:rPr>
          <w:lang w:val="en-US"/>
        </w:rPr>
        <w:t xml:space="preserve">fic </w:t>
      </w:r>
      <w:r w:rsidR="0083540D">
        <w:rPr>
          <w:lang w:val="en-US"/>
        </w:rPr>
        <w:t xml:space="preserve">scenarios, and IMT-2030 TPRs should not </w:t>
      </w:r>
      <w:r w:rsidR="000960E3">
        <w:rPr>
          <w:lang w:val="en-US"/>
        </w:rPr>
        <w:t xml:space="preserve">be </w:t>
      </w:r>
      <w:r w:rsidR="0083540D">
        <w:rPr>
          <w:lang w:val="en-US"/>
        </w:rPr>
        <w:t>limit</w:t>
      </w:r>
      <w:r w:rsidR="000960E3">
        <w:rPr>
          <w:lang w:val="en-US"/>
        </w:rPr>
        <w:t>ed</w:t>
      </w:r>
      <w:r w:rsidR="0083540D">
        <w:rPr>
          <w:lang w:val="en-US"/>
        </w:rPr>
        <w:t xml:space="preserve"> to the most demanding use cases only. </w:t>
      </w:r>
      <w:r w:rsidR="003A4A0F">
        <w:rPr>
          <w:lang w:val="en-US"/>
        </w:rPr>
        <w:t xml:space="preserve"> </w:t>
      </w:r>
      <w:r w:rsidR="00B66AB3">
        <w:rPr>
          <w:lang w:val="en-US"/>
        </w:rPr>
        <w:t xml:space="preserve"> </w:t>
      </w:r>
    </w:p>
    <w:p w14:paraId="41AC49B7" w14:textId="16A66725" w:rsidR="00CA1E72" w:rsidRDefault="00104F91" w:rsidP="00FA4C16">
      <w:pPr>
        <w:rPr>
          <w:lang w:val="en-US"/>
        </w:rPr>
      </w:pPr>
      <w:r w:rsidRPr="0083540D">
        <w:rPr>
          <w:b/>
          <w:bCs/>
          <w:u w:val="single"/>
          <w:lang w:val="en-US"/>
        </w:rPr>
        <w:t>Sensing</w:t>
      </w:r>
      <w:r>
        <w:rPr>
          <w:lang w:val="en-US"/>
        </w:rPr>
        <w:t>:</w:t>
      </w:r>
      <w:r w:rsidR="00BE4FE7">
        <w:rPr>
          <w:lang w:val="en-US"/>
        </w:rPr>
        <w:t xml:space="preserve"> </w:t>
      </w:r>
      <w:r w:rsidR="00946705">
        <w:rPr>
          <w:lang w:val="en-US"/>
        </w:rPr>
        <w:t xml:space="preserve"> </w:t>
      </w:r>
    </w:p>
    <w:p w14:paraId="4062CF9A" w14:textId="74FE1A42" w:rsidR="00F1254A" w:rsidRDefault="00F1254A" w:rsidP="00F1254A">
      <w:pPr>
        <w:rPr>
          <w:lang w:val="en-US"/>
        </w:rPr>
      </w:pPr>
      <w:r>
        <w:rPr>
          <w:lang w:val="en-US"/>
        </w:rPr>
        <w:t xml:space="preserve">Sensing is one of the fundamentally new capabilities in IMT-2030. Unlike e.g. positioning, sensing is not presently supported in the existing 3GPP NR standards. Sensing encompasses a large variety of techniques and use cases, and it is hard to foresee which ones will be the most important applications in the future. </w:t>
      </w:r>
    </w:p>
    <w:p w14:paraId="29C30C68" w14:textId="13753391" w:rsidR="00F1254A" w:rsidRDefault="00F1254A" w:rsidP="00F1254A">
      <w:pPr>
        <w:rPr>
          <w:lang w:val="en-US"/>
        </w:rPr>
      </w:pPr>
      <w:r>
        <w:rPr>
          <w:lang w:val="en-US"/>
        </w:rPr>
        <w:t>Some of the mentioned potential use cases for sensing include e.g. i</w:t>
      </w:r>
      <w:r w:rsidRPr="00C528F0">
        <w:rPr>
          <w:lang w:val="en-US"/>
        </w:rPr>
        <w:t>ntrusion detection</w:t>
      </w:r>
      <w:r w:rsidRPr="00C528F0">
        <w:rPr>
          <w:rFonts w:ascii="Arial" w:hAnsi="Arial" w:cs="Arial"/>
          <w:lang w:val="en-US"/>
        </w:rPr>
        <w:t>​</w:t>
      </w:r>
      <w:r>
        <w:rPr>
          <w:rFonts w:ascii="Arial" w:hAnsi="Arial" w:cs="Arial"/>
          <w:lang w:val="en-US"/>
        </w:rPr>
        <w:t xml:space="preserve">, </w:t>
      </w:r>
      <w:r w:rsidRPr="00BD2D14">
        <w:rPr>
          <w:lang w:val="en-US"/>
        </w:rPr>
        <w:t>e</w:t>
      </w:r>
      <w:r w:rsidRPr="00C528F0">
        <w:rPr>
          <w:lang w:val="en-US"/>
        </w:rPr>
        <w:t>nvironment monitoring</w:t>
      </w:r>
      <w:r w:rsidRPr="00BD2D14">
        <w:rPr>
          <w:rFonts w:ascii="Arial" w:hAnsi="Arial" w:cs="Arial"/>
          <w:lang w:val="en-US"/>
        </w:rPr>
        <w:t>​</w:t>
      </w:r>
      <w:r w:rsidRPr="00BD2D14">
        <w:rPr>
          <w:lang w:val="en-US"/>
        </w:rPr>
        <w:t>, detection and tracking in f</w:t>
      </w:r>
      <w:r w:rsidRPr="00C528F0">
        <w:rPr>
          <w:lang w:val="en-US"/>
        </w:rPr>
        <w:t>actor</w:t>
      </w:r>
      <w:r>
        <w:rPr>
          <w:lang w:val="en-US"/>
        </w:rPr>
        <w:t>ies</w:t>
      </w:r>
      <w:r w:rsidRPr="00BD2D14">
        <w:rPr>
          <w:rFonts w:ascii="Arial" w:hAnsi="Arial" w:cs="Arial"/>
          <w:lang w:val="en-US"/>
        </w:rPr>
        <w:t>​</w:t>
      </w:r>
      <w:r w:rsidRPr="00BD2D14">
        <w:rPr>
          <w:lang w:val="en-US"/>
        </w:rPr>
        <w:t xml:space="preserve">, </w:t>
      </w:r>
      <w:r w:rsidRPr="00C528F0">
        <w:rPr>
          <w:lang w:val="en-US"/>
        </w:rPr>
        <w:t>UAV</w:t>
      </w:r>
      <w:r>
        <w:rPr>
          <w:lang w:val="en-US"/>
        </w:rPr>
        <w:t xml:space="preserve"> flight trajectory tracking, traffic sensing, automotive use, health checking and environment monitoring</w:t>
      </w:r>
      <w:r w:rsidRPr="00BD2D14">
        <w:rPr>
          <w:rFonts w:ascii="Arial" w:hAnsi="Arial" w:cs="Arial"/>
          <w:lang w:val="en-US"/>
        </w:rPr>
        <w:t>​</w:t>
      </w:r>
      <w:r w:rsidRPr="00BD2D14">
        <w:rPr>
          <w:lang w:val="en-US"/>
        </w:rPr>
        <w:t xml:space="preserve">. These </w:t>
      </w:r>
      <w:r>
        <w:rPr>
          <w:lang w:val="en-US"/>
        </w:rPr>
        <w:t xml:space="preserve">potential </w:t>
      </w:r>
      <w:r w:rsidRPr="00BD2D14">
        <w:rPr>
          <w:lang w:val="en-US"/>
        </w:rPr>
        <w:t>use cases may further have different targets in terms of what is the sensing object</w:t>
      </w:r>
      <w:r>
        <w:rPr>
          <w:lang w:val="en-US"/>
        </w:rPr>
        <w:t xml:space="preserve"> (e.g. human, automobile, drone, factory goods…)</w:t>
      </w:r>
      <w:r w:rsidRPr="00BD2D14">
        <w:rPr>
          <w:lang w:val="en-US"/>
        </w:rPr>
        <w:t>.</w:t>
      </w:r>
      <w:r>
        <w:rPr>
          <w:lang w:val="en-US"/>
        </w:rPr>
        <w:t xml:space="preserve"> It is apparent that technical performance requirements cannot be set to optimally cater for all envisioned use cases; </w:t>
      </w:r>
      <w:r w:rsidR="000A0C01">
        <w:rPr>
          <w:lang w:val="en-US"/>
        </w:rPr>
        <w:t>instead,</w:t>
      </w:r>
      <w:r>
        <w:rPr>
          <w:lang w:val="en-US"/>
        </w:rPr>
        <w:t xml:space="preserve"> it is necessary to focus on key aspects that are common for most of the anticipated sensing applications.</w:t>
      </w:r>
    </w:p>
    <w:p w14:paraId="2CC72CC2" w14:textId="27A57864" w:rsidR="00F1254A" w:rsidRDefault="00F1254A" w:rsidP="00F1254A">
      <w:pPr>
        <w:rPr>
          <w:lang w:val="en-US"/>
        </w:rPr>
      </w:pPr>
      <w:r>
        <w:rPr>
          <w:lang w:val="en-US"/>
        </w:rPr>
        <w:t xml:space="preserve">Given that sensing is still </w:t>
      </w:r>
      <w:r w:rsidR="000A0C01">
        <w:rPr>
          <w:lang w:val="en-US"/>
        </w:rPr>
        <w:t>largely</w:t>
      </w:r>
      <w:r>
        <w:rPr>
          <w:lang w:val="en-US"/>
        </w:rPr>
        <w:t xml:space="preserve"> in a research phase, and anticipated applications are rather diverse, it is preferred to focus in IMT-2030 on requirements that are not tied to a specific </w:t>
      </w:r>
      <w:r w:rsidR="0039045C">
        <w:rPr>
          <w:lang w:val="en-US"/>
        </w:rPr>
        <w:t xml:space="preserve">type of </w:t>
      </w:r>
      <w:r>
        <w:rPr>
          <w:lang w:val="en-US"/>
        </w:rPr>
        <w:t>sensing object or use case. Most of the foreseen sensing applications assume at least localization of the sensing object to be performed. Therefore, it is proposed that IMT-2030 focus</w:t>
      </w:r>
      <w:r w:rsidR="0039045C">
        <w:rPr>
          <w:lang w:val="en-US"/>
        </w:rPr>
        <w:t>es</w:t>
      </w:r>
      <w:r>
        <w:rPr>
          <w:lang w:val="en-US"/>
        </w:rPr>
        <w:t xml:space="preserve"> on this aspect. By setting requirements for localization accuracy or resolution</w:t>
      </w:r>
      <w:r w:rsidR="00C927BF">
        <w:rPr>
          <w:lang w:val="en-US"/>
        </w:rPr>
        <w:t>, evaluated analytically or by simulations</w:t>
      </w:r>
      <w:r>
        <w:rPr>
          <w:lang w:val="en-US"/>
        </w:rPr>
        <w:t>, it is possible to verify the main boundaries for the sensing performance of an IMT-2030 standard, while avoiding complex prioritization of largely varying use cases.</w:t>
      </w:r>
    </w:p>
    <w:p w14:paraId="3D74D306" w14:textId="61F809BA" w:rsidR="00104F91" w:rsidRPr="00AF160F" w:rsidRDefault="0060088D" w:rsidP="00FA4C16">
      <w:pPr>
        <w:rPr>
          <w:b/>
          <w:bCs/>
          <w:u w:val="single"/>
          <w:lang w:val="en-US"/>
        </w:rPr>
      </w:pPr>
      <w:r w:rsidRPr="00AF160F">
        <w:rPr>
          <w:b/>
          <w:bCs/>
          <w:u w:val="single"/>
          <w:lang w:val="en-US"/>
        </w:rPr>
        <w:t>AI-related Capabilities:</w:t>
      </w:r>
    </w:p>
    <w:p w14:paraId="083FF6F2" w14:textId="77777777" w:rsidR="00AF160F" w:rsidRDefault="00AF160F" w:rsidP="00AF160F">
      <w:pPr>
        <w:rPr>
          <w:lang w:val="en-US"/>
        </w:rPr>
      </w:pPr>
      <w:r>
        <w:rPr>
          <w:lang w:val="en-US"/>
        </w:rPr>
        <w:t>Use of AI in radio networks can be roughly categorized as follows:</w:t>
      </w:r>
    </w:p>
    <w:p w14:paraId="18F1468F" w14:textId="77777777" w:rsidR="00AF160F" w:rsidRPr="0058641D" w:rsidRDefault="00AF160F" w:rsidP="00AF160F">
      <w:pPr>
        <w:pStyle w:val="ListParagraph"/>
        <w:numPr>
          <w:ilvl w:val="0"/>
          <w:numId w:val="30"/>
        </w:numPr>
        <w:spacing w:after="160" w:line="259" w:lineRule="auto"/>
        <w:ind w:left="1080"/>
        <w:rPr>
          <w:lang w:val="en-US"/>
        </w:rPr>
      </w:pPr>
      <w:r>
        <w:rPr>
          <w:lang w:val="en-US"/>
        </w:rPr>
        <w:t>AI for network: using AI in operating the network, to e.g. improve performance</w:t>
      </w:r>
    </w:p>
    <w:p w14:paraId="7B2C889A" w14:textId="77777777" w:rsidR="00AF160F" w:rsidRPr="0058641D" w:rsidRDefault="00AF160F" w:rsidP="00AF160F">
      <w:pPr>
        <w:pStyle w:val="ListParagraph"/>
        <w:numPr>
          <w:ilvl w:val="0"/>
          <w:numId w:val="30"/>
        </w:numPr>
        <w:spacing w:after="160" w:line="259" w:lineRule="auto"/>
        <w:ind w:left="1080"/>
        <w:rPr>
          <w:lang w:val="en-US"/>
        </w:rPr>
      </w:pPr>
      <w:r>
        <w:rPr>
          <w:lang w:val="en-US"/>
        </w:rPr>
        <w:t>Network for AI: providing network connectivity for AI services</w:t>
      </w:r>
    </w:p>
    <w:p w14:paraId="76818609" w14:textId="77777777" w:rsidR="00AF160F" w:rsidRPr="0058641D" w:rsidRDefault="00AF160F" w:rsidP="00473877">
      <w:pPr>
        <w:rPr>
          <w:u w:val="single"/>
          <w:lang w:val="en-US"/>
        </w:rPr>
      </w:pPr>
      <w:r w:rsidRPr="0058641D">
        <w:rPr>
          <w:u w:val="single"/>
          <w:lang w:val="en-US"/>
        </w:rPr>
        <w:t>AI for network:</w:t>
      </w:r>
      <w:r>
        <w:rPr>
          <w:u w:val="single"/>
          <w:lang w:val="en-US"/>
        </w:rPr>
        <w:t xml:space="preserve"> </w:t>
      </w:r>
      <w:r w:rsidRPr="0058641D">
        <w:rPr>
          <w:lang w:val="en-US"/>
        </w:rPr>
        <w:t xml:space="preserve"> AI</w:t>
      </w:r>
      <w:r>
        <w:rPr>
          <w:lang w:val="en-US"/>
        </w:rPr>
        <w:t xml:space="preserve"> will likely be widely used in IMT-2030 systems</w:t>
      </w:r>
      <w:r w:rsidRPr="0058641D">
        <w:rPr>
          <w:lang w:val="en-US"/>
        </w:rPr>
        <w:t xml:space="preserve"> to improve </w:t>
      </w:r>
      <w:r w:rsidRPr="0058641D">
        <w:t>the performance of radio interface functions such as symbol detection/decoding, channel estimation</w:t>
      </w:r>
      <w:r>
        <w:t>, scheduling,</w:t>
      </w:r>
      <w:r w:rsidRPr="0058641D">
        <w:t xml:space="preserve"> </w:t>
      </w:r>
      <w:r>
        <w:t xml:space="preserve">network optimization </w:t>
      </w:r>
      <w:r w:rsidRPr="0058641D">
        <w:t>etc</w:t>
      </w:r>
      <w:r>
        <w:t>. Corresponding improvements in network performance are expected to be reflected in TPRs such as Spectrum Efficiency, User Experienced Data Rate, and Reliability. There is no need to define separate TPRs for “AI for Network”.</w:t>
      </w:r>
    </w:p>
    <w:p w14:paraId="61FFFE7B" w14:textId="2DFA3FA6" w:rsidR="00AF160F" w:rsidRDefault="00AF160F" w:rsidP="00473877">
      <w:pPr>
        <w:rPr>
          <w:lang w:val="en-US"/>
        </w:rPr>
      </w:pPr>
      <w:r w:rsidRPr="0058641D">
        <w:rPr>
          <w:u w:val="single"/>
          <w:lang w:val="en-US"/>
        </w:rPr>
        <w:t>Network for AI</w:t>
      </w:r>
      <w:r>
        <w:rPr>
          <w:lang w:val="en-US"/>
        </w:rPr>
        <w:t>: AI services are one of the major use cases for IMT-2030. IMT-2030 should therefore provide sufficient performance to support AI related tasks. Many of the existing TPRs are already good metric</w:t>
      </w:r>
      <w:r w:rsidR="00CA5604">
        <w:rPr>
          <w:lang w:val="en-US"/>
        </w:rPr>
        <w:t>s</w:t>
      </w:r>
      <w:r>
        <w:rPr>
          <w:lang w:val="en-US"/>
        </w:rPr>
        <w:t xml:space="preserve"> for determining how well the network can support AI services. Moreover, a</w:t>
      </w:r>
      <w:r w:rsidR="007448B6">
        <w:rPr>
          <w:lang w:val="en-US"/>
        </w:rPr>
        <w:t xml:space="preserve">n extension of the “Reliability” TPR as discussed in Section 2.1 </w:t>
      </w:r>
      <w:r w:rsidR="0000765F">
        <w:rPr>
          <w:lang w:val="en-US"/>
        </w:rPr>
        <w:t xml:space="preserve">can also ensure that necessary support for AI is </w:t>
      </w:r>
      <w:r w:rsidR="00957BD4">
        <w:rPr>
          <w:lang w:val="en-US"/>
        </w:rPr>
        <w:t>present in IMT-2030.</w:t>
      </w:r>
    </w:p>
    <w:p w14:paraId="30761E52" w14:textId="742A262C" w:rsidR="004D3015" w:rsidRPr="00DD66AC" w:rsidRDefault="004D3015" w:rsidP="00FA4C16">
      <w:pPr>
        <w:rPr>
          <w:b/>
          <w:bCs/>
          <w:u w:val="single"/>
          <w:lang w:val="en-US"/>
        </w:rPr>
      </w:pPr>
      <w:r w:rsidRPr="00DD66AC">
        <w:rPr>
          <w:b/>
          <w:bCs/>
          <w:u w:val="single"/>
          <w:lang w:val="en-US"/>
        </w:rPr>
        <w:t>Coverage:</w:t>
      </w:r>
    </w:p>
    <w:p w14:paraId="43D171B6" w14:textId="6757C639" w:rsidR="00DD66AC" w:rsidRDefault="00DD66AC" w:rsidP="00473877">
      <w:pPr>
        <w:rPr>
          <w:lang w:val="en-US"/>
        </w:rPr>
      </w:pPr>
      <w:r>
        <w:rPr>
          <w:lang w:val="en-US"/>
        </w:rPr>
        <w:t>Coverage is listed as one of the capabilities of IMT-2030. Network coverage is a complex aspect to measure, and</w:t>
      </w:r>
      <w:r w:rsidR="00EC433F">
        <w:rPr>
          <w:lang w:val="en-US"/>
        </w:rPr>
        <w:t xml:space="preserve"> it</w:t>
      </w:r>
      <w:r>
        <w:rPr>
          <w:lang w:val="en-US"/>
        </w:rPr>
        <w:t xml:space="preserve"> depends on multiple factors including network deployment (inter</w:t>
      </w:r>
      <w:r w:rsidR="00235955">
        <w:rPr>
          <w:lang w:val="en-US"/>
        </w:rPr>
        <w:t>-</w:t>
      </w:r>
      <w:r>
        <w:rPr>
          <w:lang w:val="en-US"/>
        </w:rPr>
        <w:t>site distance, TX power</w:t>
      </w:r>
      <w:r w:rsidR="001160AE">
        <w:rPr>
          <w:lang w:val="en-US"/>
        </w:rPr>
        <w:t>,</w:t>
      </w:r>
      <w:r>
        <w:rPr>
          <w:lang w:val="en-US"/>
        </w:rPr>
        <w:t xml:space="preserve"> antenna configuration, BS antenna height, type of geographical environment, et</w:t>
      </w:r>
      <w:r w:rsidR="001160AE">
        <w:rPr>
          <w:lang w:val="en-US"/>
        </w:rPr>
        <w:t>c</w:t>
      </w:r>
      <w:r>
        <w:rPr>
          <w:lang w:val="en-US"/>
        </w:rPr>
        <w:t xml:space="preserve">.). Coverage is also not a binary measure (yes/no), but instead it varies depending on the assumption on the required minimum bit rate and maximum allowed latency. Therefore, statistical properties, such as spectrum efficiency CDF, are </w:t>
      </w:r>
      <w:r w:rsidR="00B366C5">
        <w:rPr>
          <w:lang w:val="en-US"/>
        </w:rPr>
        <w:t>the best</w:t>
      </w:r>
      <w:r>
        <w:rPr>
          <w:lang w:val="en-US"/>
        </w:rPr>
        <w:t xml:space="preserve"> way of characterizing network’s coverage in various types of deployment scenarios. </w:t>
      </w:r>
      <w:r w:rsidR="00F1674D">
        <w:rPr>
          <w:lang w:val="en-US"/>
        </w:rPr>
        <w:t xml:space="preserve">The </w:t>
      </w:r>
      <w:r w:rsidR="00EE4CDF">
        <w:rPr>
          <w:lang w:val="en-US"/>
        </w:rPr>
        <w:t xml:space="preserve">legacy TPRs discussed in Section 2.1. meet this purpose already, and there is no need to define additional </w:t>
      </w:r>
      <w:r w:rsidR="00E95AC6">
        <w:rPr>
          <w:lang w:val="en-US"/>
        </w:rPr>
        <w:t>TPRs for coverage.</w:t>
      </w:r>
    </w:p>
    <w:p w14:paraId="55041E45" w14:textId="214A2D10" w:rsidR="00DD66AC" w:rsidRDefault="00DD66AC" w:rsidP="00473877">
      <w:pPr>
        <w:rPr>
          <w:lang w:val="en-US"/>
        </w:rPr>
      </w:pPr>
      <w:r>
        <w:rPr>
          <w:lang w:val="en-US"/>
        </w:rPr>
        <w:t>Another aspect directly impacting coverage is the link budget. Provisioning of a link budget along with Maximum Coupling Loss (MCL)</w:t>
      </w:r>
      <w:r w:rsidR="00F7352D">
        <w:rPr>
          <w:lang w:val="en-US"/>
        </w:rPr>
        <w:t xml:space="preserve"> may</w:t>
      </w:r>
      <w:r w:rsidR="00F1674D">
        <w:rPr>
          <w:lang w:val="en-US"/>
        </w:rPr>
        <w:t xml:space="preserve"> </w:t>
      </w:r>
      <w:r>
        <w:rPr>
          <w:lang w:val="en-US"/>
        </w:rPr>
        <w:t xml:space="preserve">be considered, as in IMT-2020. </w:t>
      </w:r>
    </w:p>
    <w:p w14:paraId="7AD09A93" w14:textId="50538DDC" w:rsidR="000E46D2" w:rsidRPr="00473877" w:rsidRDefault="000E46D2" w:rsidP="00F7352D">
      <w:pPr>
        <w:keepNext/>
        <w:rPr>
          <w:b/>
          <w:bCs/>
          <w:u w:val="single"/>
          <w:lang w:val="en-US"/>
        </w:rPr>
      </w:pPr>
      <w:r w:rsidRPr="00473877">
        <w:rPr>
          <w:b/>
          <w:bCs/>
          <w:u w:val="single"/>
          <w:lang w:val="en-US"/>
        </w:rPr>
        <w:lastRenderedPageBreak/>
        <w:t>Interoperability:</w:t>
      </w:r>
    </w:p>
    <w:p w14:paraId="49B2C66C" w14:textId="74AA3BB6" w:rsidR="0060088D" w:rsidRDefault="00CD521C" w:rsidP="00F7352D">
      <w:pPr>
        <w:keepNext/>
      </w:pPr>
      <w:r w:rsidRPr="00CD521C">
        <w:t xml:space="preserve">Interoperability refers to the radio interface being based on member-inclusivity and transparency, </w:t>
      </w:r>
      <w:proofErr w:type="gramStart"/>
      <w:r w:rsidRPr="00CD521C">
        <w:t>so as to</w:t>
      </w:r>
      <w:proofErr w:type="gramEnd"/>
      <w:r w:rsidRPr="00CD521C">
        <w:t xml:space="preserve"> enable functionality(</w:t>
      </w:r>
      <w:proofErr w:type="spellStart"/>
      <w:r w:rsidRPr="00CD521C">
        <w:t>ies</w:t>
      </w:r>
      <w:proofErr w:type="spellEnd"/>
      <w:r w:rsidRPr="00CD521C">
        <w:t>) between different entities of the system.</w:t>
      </w:r>
      <w:r>
        <w:t xml:space="preserve"> It is clea</w:t>
      </w:r>
      <w:r w:rsidR="007B58DC">
        <w:t xml:space="preserve">rly hard to define </w:t>
      </w:r>
      <w:r>
        <w:t>technical performance requirements for interoperability.</w:t>
      </w:r>
      <w:r w:rsidR="007B58DC">
        <w:t xml:space="preserve"> Related aspects of an IMT-2030 </w:t>
      </w:r>
      <w:r w:rsidR="007C0C8F">
        <w:t xml:space="preserve">radio standard can be </w:t>
      </w:r>
      <w:r w:rsidR="007317FE">
        <w:t>covered in the submission template for IMT-2030</w:t>
      </w:r>
      <w:r w:rsidR="00D95277">
        <w:t>.</w:t>
      </w:r>
      <w:r w:rsidR="007B58DC">
        <w:t xml:space="preserve"> </w:t>
      </w:r>
    </w:p>
    <w:p w14:paraId="539CA11E" w14:textId="77777777" w:rsidR="00D77807" w:rsidRDefault="00D77807" w:rsidP="00F7352D">
      <w:pPr>
        <w:keepNext/>
      </w:pPr>
    </w:p>
    <w:p w14:paraId="221DE6A7" w14:textId="58E4D5AB" w:rsidR="00AE2EE1" w:rsidRDefault="00AE2EE1" w:rsidP="00F7352D">
      <w:pPr>
        <w:keepNext/>
      </w:pPr>
      <w:r>
        <w:t xml:space="preserve">The </w:t>
      </w:r>
      <w:r w:rsidR="00D77807">
        <w:t>proposals related to the items for IMT-2030 Technical Performance requirements are summarised in Table 1</w:t>
      </w:r>
      <w:r w:rsidR="00131EC5">
        <w:t xml:space="preserve"> in Section 3</w:t>
      </w:r>
      <w:r w:rsidR="00D77807">
        <w:t>.</w:t>
      </w:r>
    </w:p>
    <w:p w14:paraId="2FD8D566" w14:textId="77777777" w:rsidR="00D77807" w:rsidRDefault="00D77807" w:rsidP="00D77807">
      <w:r w:rsidRPr="00F268F7">
        <w:rPr>
          <w:b/>
          <w:bCs/>
        </w:rPr>
        <w:t>Proposal: 1</w:t>
      </w:r>
      <w:r w:rsidRPr="00F268F7">
        <w:rPr>
          <w:b/>
          <w:bCs/>
          <w:i/>
          <w:iCs/>
        </w:rPr>
        <w:t>: Technical Performance Requirements are developed for the items listed in Table 1. It can be further discussed if some of the aspects that are not directly measurable (e.g. Resilience) should be evaluated by inspection, of be included into the submission template</w:t>
      </w:r>
      <w:r>
        <w:t>.</w:t>
      </w:r>
    </w:p>
    <w:p w14:paraId="6C9AD194" w14:textId="77777777" w:rsidR="00D77807" w:rsidRDefault="00D77807" w:rsidP="00F7352D">
      <w:pPr>
        <w:keepNext/>
      </w:pPr>
    </w:p>
    <w:p w14:paraId="11723F1B" w14:textId="77777777" w:rsidR="00B56463" w:rsidRDefault="00B56463" w:rsidP="00F7352D">
      <w:pPr>
        <w:keepNext/>
      </w:pPr>
    </w:p>
    <w:p w14:paraId="1FD44615" w14:textId="4D3A942D" w:rsidR="00F268F7" w:rsidRDefault="00F268F7" w:rsidP="00F268F7">
      <w:pPr>
        <w:pStyle w:val="Heading2"/>
      </w:pPr>
      <w:r>
        <w:t>2.3</w:t>
      </w:r>
      <w:r>
        <w:tab/>
      </w:r>
      <w:r w:rsidR="00C85773">
        <w:t>Carrier Frequency</w:t>
      </w:r>
      <w:r w:rsidR="00131EC5">
        <w:t xml:space="preserve"> and Bandwidth</w:t>
      </w:r>
    </w:p>
    <w:p w14:paraId="1274A46B" w14:textId="2D454699" w:rsidR="00F268F7" w:rsidRDefault="00F268F7" w:rsidP="00F7352D">
      <w:pPr>
        <w:keepNext/>
        <w:rPr>
          <w:lang w:val="en-US"/>
        </w:rPr>
      </w:pPr>
      <w:r>
        <w:rPr>
          <w:lang w:val="en-US"/>
        </w:rPr>
        <w:t xml:space="preserve">The Technical Performance Requirements are tightly coupled with the related evaluation </w:t>
      </w:r>
      <w:r w:rsidR="00C85773">
        <w:rPr>
          <w:lang w:val="en-US"/>
        </w:rPr>
        <w:t>scenarios. While the exact evaluation assumptions require more discussion, it is important to set some of the elementary aspects early, such that work on detailed TPRs and the associated values can proceed.</w:t>
      </w:r>
    </w:p>
    <w:p w14:paraId="54FF66B1" w14:textId="63D6957A" w:rsidR="00C85773" w:rsidRDefault="00C85773" w:rsidP="00F7352D">
      <w:pPr>
        <w:keepNext/>
        <w:rPr>
          <w:lang w:val="en-US"/>
        </w:rPr>
      </w:pPr>
      <w:r>
        <w:rPr>
          <w:lang w:val="en-US"/>
        </w:rPr>
        <w:t xml:space="preserve">The </w:t>
      </w:r>
      <w:r w:rsidR="00D63DAC">
        <w:rPr>
          <w:lang w:val="en-US"/>
        </w:rPr>
        <w:t xml:space="preserve">single </w:t>
      </w:r>
      <w:r>
        <w:rPr>
          <w:lang w:val="en-US"/>
        </w:rPr>
        <w:t>most important evaluation assumption is carrier frequency. Carrier frequency impact</w:t>
      </w:r>
      <w:r w:rsidR="006A45BF">
        <w:rPr>
          <w:lang w:val="en-US"/>
        </w:rPr>
        <w:t>s</w:t>
      </w:r>
      <w:r>
        <w:rPr>
          <w:lang w:val="en-US"/>
        </w:rPr>
        <w:t xml:space="preserve"> the propagation characteristics (pathloss, penetration, and channel model in general) as well as the practically feasible antenna configurations and will have a significant impact on </w:t>
      </w:r>
      <w:r w:rsidR="005A386E">
        <w:rPr>
          <w:lang w:val="en-US"/>
        </w:rPr>
        <w:t>achievable performance</w:t>
      </w:r>
      <w:r w:rsidR="001144E0">
        <w:rPr>
          <w:lang w:val="en-US"/>
        </w:rPr>
        <w:t xml:space="preserve">, affecting </w:t>
      </w:r>
      <w:r>
        <w:rPr>
          <w:lang w:val="en-US"/>
        </w:rPr>
        <w:t xml:space="preserve">aspects including spectral efficiency, coverage, </w:t>
      </w:r>
      <w:r w:rsidR="00B1544A">
        <w:rPr>
          <w:lang w:val="en-US"/>
        </w:rPr>
        <w:t>and other</w:t>
      </w:r>
      <w:r w:rsidR="001144E0">
        <w:rPr>
          <w:lang w:val="en-US"/>
        </w:rPr>
        <w:t>s</w:t>
      </w:r>
      <w:r w:rsidR="00B1544A">
        <w:rPr>
          <w:lang w:val="en-US"/>
        </w:rPr>
        <w:t>. As many of the new frequency bands considered for IMT-2030 are located around 7 GHz (e.g.</w:t>
      </w:r>
      <w:r w:rsidR="00B1544A" w:rsidRPr="00B1544A">
        <w:t xml:space="preserve"> </w:t>
      </w:r>
      <w:r w:rsidR="00B1544A" w:rsidRPr="00B1544A">
        <w:rPr>
          <w:lang w:val="en-US"/>
        </w:rPr>
        <w:t>frequency ranges 6.425-7.125 and 7.125-8.4 GHz</w:t>
      </w:r>
      <w:r w:rsidR="00B1544A">
        <w:rPr>
          <w:lang w:val="en-US"/>
        </w:rPr>
        <w:t>), we propose to add 7 GHz carrier frequency in the set of evaluation assumptions for IMT-2030.</w:t>
      </w:r>
    </w:p>
    <w:p w14:paraId="51799FB8" w14:textId="3249A353" w:rsidR="00D77807" w:rsidRDefault="00D77807" w:rsidP="00D77807">
      <w:pPr>
        <w:rPr>
          <w:b/>
          <w:bCs/>
          <w:i/>
          <w:iCs/>
        </w:rPr>
      </w:pPr>
      <w:r w:rsidRPr="79C377AA">
        <w:rPr>
          <w:b/>
          <w:bCs/>
          <w:i/>
          <w:iCs/>
        </w:rPr>
        <w:t>Proposal</w:t>
      </w:r>
      <w:r>
        <w:rPr>
          <w:b/>
          <w:bCs/>
          <w:i/>
          <w:iCs/>
        </w:rPr>
        <w:t xml:space="preserve"> </w:t>
      </w:r>
      <w:r w:rsidR="00131EC5">
        <w:rPr>
          <w:b/>
          <w:bCs/>
          <w:i/>
          <w:iCs/>
        </w:rPr>
        <w:t>2</w:t>
      </w:r>
      <w:r w:rsidRPr="79C377AA">
        <w:rPr>
          <w:b/>
          <w:bCs/>
          <w:i/>
          <w:iCs/>
        </w:rPr>
        <w:t>: 7 GHz carrier frequency is included in the set of evaluation parameters of IMT-2030</w:t>
      </w:r>
      <w:r w:rsidRPr="7BC15266">
        <w:rPr>
          <w:b/>
          <w:bCs/>
          <w:i/>
          <w:iCs/>
        </w:rPr>
        <w:t xml:space="preserve">, to reflect the </w:t>
      </w:r>
      <w:r w:rsidRPr="066D49E1">
        <w:rPr>
          <w:b/>
          <w:bCs/>
          <w:i/>
          <w:iCs/>
        </w:rPr>
        <w:t>frequency</w:t>
      </w:r>
      <w:r w:rsidRPr="5C9489D1">
        <w:rPr>
          <w:b/>
          <w:bCs/>
          <w:i/>
          <w:iCs/>
        </w:rPr>
        <w:t xml:space="preserve"> </w:t>
      </w:r>
      <w:r w:rsidRPr="2AEF4D7E">
        <w:rPr>
          <w:b/>
          <w:bCs/>
          <w:i/>
          <w:iCs/>
        </w:rPr>
        <w:t>ranges</w:t>
      </w:r>
      <w:r w:rsidRPr="64DD69A0">
        <w:rPr>
          <w:b/>
          <w:bCs/>
          <w:i/>
          <w:iCs/>
        </w:rPr>
        <w:t xml:space="preserve"> </w:t>
      </w:r>
      <w:r w:rsidRPr="0850D7C8">
        <w:rPr>
          <w:b/>
          <w:bCs/>
          <w:i/>
          <w:iCs/>
        </w:rPr>
        <w:t>6.</w:t>
      </w:r>
      <w:r w:rsidRPr="0EB0D7EA">
        <w:rPr>
          <w:b/>
          <w:bCs/>
          <w:i/>
          <w:iCs/>
        </w:rPr>
        <w:t>425</w:t>
      </w:r>
      <w:r w:rsidRPr="4FB48E30">
        <w:rPr>
          <w:b/>
          <w:bCs/>
          <w:i/>
          <w:iCs/>
        </w:rPr>
        <w:t>-7.</w:t>
      </w:r>
      <w:r w:rsidRPr="3245CCC2">
        <w:rPr>
          <w:b/>
          <w:bCs/>
          <w:i/>
          <w:iCs/>
        </w:rPr>
        <w:t>125</w:t>
      </w:r>
      <w:r w:rsidRPr="0850D7C8">
        <w:rPr>
          <w:b/>
          <w:bCs/>
          <w:i/>
          <w:iCs/>
        </w:rPr>
        <w:t xml:space="preserve"> </w:t>
      </w:r>
      <w:r w:rsidRPr="40C0E67A">
        <w:rPr>
          <w:b/>
          <w:bCs/>
          <w:i/>
          <w:iCs/>
        </w:rPr>
        <w:t>and 7.125</w:t>
      </w:r>
      <w:r w:rsidRPr="13A2ED6B">
        <w:rPr>
          <w:b/>
          <w:bCs/>
          <w:i/>
          <w:iCs/>
        </w:rPr>
        <w:t>-</w:t>
      </w:r>
      <w:r w:rsidRPr="7D0499BE">
        <w:rPr>
          <w:b/>
          <w:bCs/>
          <w:i/>
          <w:iCs/>
        </w:rPr>
        <w:t>8</w:t>
      </w:r>
      <w:r w:rsidRPr="0850D7C8">
        <w:rPr>
          <w:b/>
          <w:bCs/>
          <w:i/>
          <w:iCs/>
        </w:rPr>
        <w:t xml:space="preserve">.4 </w:t>
      </w:r>
      <w:r w:rsidRPr="51B6F965">
        <w:rPr>
          <w:b/>
          <w:bCs/>
          <w:i/>
          <w:iCs/>
        </w:rPr>
        <w:t>GHz</w:t>
      </w:r>
      <w:r w:rsidRPr="0850D7C8">
        <w:rPr>
          <w:b/>
          <w:bCs/>
          <w:i/>
          <w:iCs/>
        </w:rPr>
        <w:t xml:space="preserve">. </w:t>
      </w:r>
    </w:p>
    <w:p w14:paraId="4D23AD5C" w14:textId="77777777" w:rsidR="00131EC5" w:rsidRPr="008F358D" w:rsidRDefault="00131EC5" w:rsidP="00131EC5">
      <w:r>
        <w:t xml:space="preserve">Regarding the bandwidth assumed in evaluations, to </w:t>
      </w:r>
      <w:r w:rsidRPr="008F358D">
        <w:t xml:space="preserve">align with the proposed minimum bandwidth of 400 MHz, 400 MHz and 200 MHz channel bandwidths should be considered at least in some evaluation scenarios. </w:t>
      </w:r>
    </w:p>
    <w:p w14:paraId="6CBE9296" w14:textId="2624B2B4" w:rsidR="00131EC5" w:rsidRDefault="00131EC5" w:rsidP="00131EC5">
      <w:pPr>
        <w:pStyle w:val="B1"/>
        <w:ind w:left="0" w:firstLine="0"/>
        <w:rPr>
          <w:b/>
          <w:bCs/>
          <w:i/>
          <w:iCs/>
        </w:rPr>
      </w:pPr>
      <w:r w:rsidRPr="008F358D">
        <w:rPr>
          <w:b/>
          <w:bCs/>
          <w:i/>
          <w:iCs/>
        </w:rPr>
        <w:t>Proposal</w:t>
      </w:r>
      <w:r>
        <w:rPr>
          <w:b/>
          <w:bCs/>
          <w:i/>
          <w:iCs/>
        </w:rPr>
        <w:t xml:space="preserve"> 3</w:t>
      </w:r>
      <w:r w:rsidRPr="008F358D">
        <w:rPr>
          <w:b/>
          <w:bCs/>
          <w:i/>
          <w:iCs/>
        </w:rPr>
        <w:t xml:space="preserve">: 400 MHz and 200 MHz channel bandwidths are included in the set of evaluation parameters of IMT-2030.  </w:t>
      </w:r>
    </w:p>
    <w:p w14:paraId="42730452" w14:textId="77777777" w:rsidR="00D77807" w:rsidRDefault="00D77807" w:rsidP="00F7352D">
      <w:pPr>
        <w:keepNext/>
        <w:rPr>
          <w:lang w:val="en-US"/>
        </w:rPr>
      </w:pPr>
    </w:p>
    <w:p w14:paraId="5550DB65" w14:textId="77777777" w:rsidR="0059507F" w:rsidRDefault="0059507F" w:rsidP="00F7352D">
      <w:pPr>
        <w:keepNext/>
        <w:rPr>
          <w:lang w:val="en-US"/>
        </w:rPr>
      </w:pPr>
    </w:p>
    <w:p w14:paraId="0C3E2418" w14:textId="77777777" w:rsidR="0059507F" w:rsidRDefault="0059507F" w:rsidP="00F7352D">
      <w:pPr>
        <w:keepNext/>
        <w:rPr>
          <w:lang w:val="en-US"/>
        </w:rPr>
      </w:pPr>
    </w:p>
    <w:p w14:paraId="47C3F206" w14:textId="77777777" w:rsidR="0059507F" w:rsidRDefault="0059507F" w:rsidP="00F7352D">
      <w:pPr>
        <w:keepNext/>
        <w:rPr>
          <w:lang w:val="en-US"/>
        </w:rPr>
      </w:pPr>
    </w:p>
    <w:p w14:paraId="089104B1" w14:textId="77777777" w:rsidR="0059507F" w:rsidRDefault="0059507F" w:rsidP="00F7352D">
      <w:pPr>
        <w:keepNext/>
        <w:rPr>
          <w:lang w:val="en-US"/>
        </w:rPr>
      </w:pPr>
    </w:p>
    <w:p w14:paraId="1245CABC" w14:textId="77777777" w:rsidR="0059507F" w:rsidRDefault="0059507F" w:rsidP="00F7352D">
      <w:pPr>
        <w:keepNext/>
        <w:rPr>
          <w:lang w:val="en-US"/>
        </w:rPr>
      </w:pPr>
    </w:p>
    <w:p w14:paraId="1E224514" w14:textId="77777777" w:rsidR="0059507F" w:rsidRDefault="0059507F" w:rsidP="00F7352D">
      <w:pPr>
        <w:keepNext/>
        <w:rPr>
          <w:lang w:val="en-US"/>
        </w:rPr>
      </w:pPr>
    </w:p>
    <w:p w14:paraId="3918D40B" w14:textId="77777777" w:rsidR="0059507F" w:rsidRDefault="0059507F" w:rsidP="00F7352D">
      <w:pPr>
        <w:keepNext/>
        <w:rPr>
          <w:lang w:val="en-US"/>
        </w:rPr>
      </w:pPr>
    </w:p>
    <w:p w14:paraId="12C54FDA" w14:textId="7F889370" w:rsidR="0059507F" w:rsidRPr="00FA4C16" w:rsidRDefault="00A024A0" w:rsidP="00A024A0">
      <w:pPr>
        <w:spacing w:after="0"/>
        <w:rPr>
          <w:lang w:val="en-US"/>
        </w:rPr>
      </w:pPr>
      <w:r>
        <w:rPr>
          <w:lang w:val="en-US"/>
        </w:rPr>
        <w:br w:type="page"/>
      </w:r>
    </w:p>
    <w:p w14:paraId="7283449B" w14:textId="10609056" w:rsidR="004F01BB" w:rsidRDefault="00C938CA" w:rsidP="00C938CA">
      <w:pPr>
        <w:pStyle w:val="Heading1"/>
      </w:pPr>
      <w:r>
        <w:lastRenderedPageBreak/>
        <w:t>3</w:t>
      </w:r>
      <w:r w:rsidR="004F01BB">
        <w:tab/>
      </w:r>
      <w:r w:rsidR="009C4E97">
        <w:t>Conclusions</w:t>
      </w:r>
      <w:r w:rsidR="00772A4B">
        <w:t xml:space="preserve"> </w:t>
      </w:r>
    </w:p>
    <w:p w14:paraId="04A0D642" w14:textId="2D5C6E92" w:rsidR="000A3D61" w:rsidRDefault="009C4E97" w:rsidP="001859EE">
      <w:bookmarkStart w:id="1" w:name="_Hlk527071819"/>
      <w:r>
        <w:t>In this contribution we have provided our views on Technical Performance requirements for IMT-2030</w:t>
      </w:r>
      <w:r w:rsidR="009A7B12">
        <w:t xml:space="preserve">, </w:t>
      </w:r>
      <w:r w:rsidR="00410FF8">
        <w:t xml:space="preserve">as well as related high-level evaluation assumptions. </w:t>
      </w:r>
      <w:r w:rsidR="006A4C0C">
        <w:t>The following Table 1 summarizes the proposed items for which TPRs should be developed, as well as the basic evaluation methodology for each TPR.</w:t>
      </w:r>
    </w:p>
    <w:p w14:paraId="08E98988" w14:textId="192486DD" w:rsidR="00C82AA5" w:rsidRDefault="009C4E97" w:rsidP="001859EE">
      <w:r w:rsidRPr="00F268F7">
        <w:rPr>
          <w:b/>
          <w:bCs/>
          <w:i/>
          <w:iCs/>
        </w:rPr>
        <w:t xml:space="preserve"> </w:t>
      </w:r>
      <w:r w:rsidR="000A3D61" w:rsidRPr="00F268F7">
        <w:rPr>
          <w:b/>
          <w:bCs/>
        </w:rPr>
        <w:t>P</w:t>
      </w:r>
      <w:r w:rsidRPr="00F268F7">
        <w:rPr>
          <w:b/>
          <w:bCs/>
        </w:rPr>
        <w:t>roposal</w:t>
      </w:r>
      <w:r w:rsidR="000A3D61" w:rsidRPr="00F268F7">
        <w:rPr>
          <w:b/>
          <w:bCs/>
        </w:rPr>
        <w:t>: 1</w:t>
      </w:r>
      <w:r w:rsidR="000A3D61" w:rsidRPr="00F268F7">
        <w:rPr>
          <w:b/>
          <w:bCs/>
          <w:i/>
          <w:iCs/>
        </w:rPr>
        <w:t>:</w:t>
      </w:r>
      <w:r w:rsidRPr="00F268F7">
        <w:rPr>
          <w:b/>
          <w:bCs/>
          <w:i/>
          <w:iCs/>
        </w:rPr>
        <w:t xml:space="preserve"> </w:t>
      </w:r>
      <w:r w:rsidR="00406042" w:rsidRPr="00F268F7">
        <w:rPr>
          <w:b/>
          <w:bCs/>
          <w:i/>
          <w:iCs/>
        </w:rPr>
        <w:t>T</w:t>
      </w:r>
      <w:r w:rsidR="000A3D61" w:rsidRPr="00F268F7">
        <w:rPr>
          <w:b/>
          <w:bCs/>
          <w:i/>
          <w:iCs/>
        </w:rPr>
        <w:t xml:space="preserve">echnical </w:t>
      </w:r>
      <w:r w:rsidR="00406042" w:rsidRPr="00F268F7">
        <w:rPr>
          <w:b/>
          <w:bCs/>
          <w:i/>
          <w:iCs/>
        </w:rPr>
        <w:t>P</w:t>
      </w:r>
      <w:r w:rsidR="000A3D61" w:rsidRPr="00F268F7">
        <w:rPr>
          <w:b/>
          <w:bCs/>
          <w:i/>
          <w:iCs/>
        </w:rPr>
        <w:t xml:space="preserve">erformance </w:t>
      </w:r>
      <w:r w:rsidR="00406042" w:rsidRPr="00F268F7">
        <w:rPr>
          <w:b/>
          <w:bCs/>
          <w:i/>
          <w:iCs/>
        </w:rPr>
        <w:t>R</w:t>
      </w:r>
      <w:r w:rsidR="000A3D61" w:rsidRPr="00F268F7">
        <w:rPr>
          <w:b/>
          <w:bCs/>
          <w:i/>
          <w:iCs/>
        </w:rPr>
        <w:t>equirement</w:t>
      </w:r>
      <w:r w:rsidR="00406042" w:rsidRPr="00F268F7">
        <w:rPr>
          <w:b/>
          <w:bCs/>
          <w:i/>
          <w:iCs/>
        </w:rPr>
        <w:t xml:space="preserve">s </w:t>
      </w:r>
      <w:r w:rsidR="000A3D61" w:rsidRPr="00F268F7">
        <w:rPr>
          <w:b/>
          <w:bCs/>
          <w:i/>
          <w:iCs/>
        </w:rPr>
        <w:t xml:space="preserve">are developed for the items </w:t>
      </w:r>
      <w:r w:rsidR="00406042" w:rsidRPr="00F268F7">
        <w:rPr>
          <w:b/>
          <w:bCs/>
          <w:i/>
          <w:iCs/>
        </w:rPr>
        <w:t>listed in Table 1</w:t>
      </w:r>
      <w:r w:rsidR="000A3D61" w:rsidRPr="00F268F7">
        <w:rPr>
          <w:b/>
          <w:bCs/>
          <w:i/>
          <w:iCs/>
        </w:rPr>
        <w:t>.</w:t>
      </w:r>
      <w:r w:rsidR="00DC2DDB" w:rsidRPr="00F268F7">
        <w:rPr>
          <w:b/>
          <w:bCs/>
          <w:i/>
          <w:iCs/>
        </w:rPr>
        <w:t xml:space="preserve"> </w:t>
      </w:r>
      <w:r w:rsidR="00FE0881" w:rsidRPr="00F268F7">
        <w:rPr>
          <w:b/>
          <w:bCs/>
          <w:i/>
          <w:iCs/>
        </w:rPr>
        <w:t>I</w:t>
      </w:r>
      <w:r w:rsidR="001859EE" w:rsidRPr="00F268F7">
        <w:rPr>
          <w:b/>
          <w:bCs/>
          <w:i/>
          <w:iCs/>
        </w:rPr>
        <w:t xml:space="preserve">t can be further discussed if some of the </w:t>
      </w:r>
      <w:r w:rsidR="005E5447" w:rsidRPr="00F268F7">
        <w:rPr>
          <w:b/>
          <w:bCs/>
          <w:i/>
          <w:iCs/>
        </w:rPr>
        <w:t xml:space="preserve">aspects that are not directly measurable </w:t>
      </w:r>
      <w:r w:rsidR="00080BFE" w:rsidRPr="00F268F7">
        <w:rPr>
          <w:b/>
          <w:bCs/>
          <w:i/>
          <w:iCs/>
        </w:rPr>
        <w:t xml:space="preserve">(e.g. Resilience) </w:t>
      </w:r>
      <w:r w:rsidR="005E5447" w:rsidRPr="00F268F7">
        <w:rPr>
          <w:b/>
          <w:bCs/>
          <w:i/>
          <w:iCs/>
        </w:rPr>
        <w:t xml:space="preserve">should be evaluated by inspection, of </w:t>
      </w:r>
      <w:r w:rsidR="00080BFE" w:rsidRPr="00F268F7">
        <w:rPr>
          <w:b/>
          <w:bCs/>
          <w:i/>
          <w:iCs/>
        </w:rPr>
        <w:t>be included into the submission template</w:t>
      </w:r>
      <w:r w:rsidR="00080BFE">
        <w:t>.</w:t>
      </w:r>
    </w:p>
    <w:p w14:paraId="1E848D86" w14:textId="21F7D359" w:rsidR="004A5F74" w:rsidRDefault="004A5F74" w:rsidP="004A5F74">
      <w:pPr>
        <w:pStyle w:val="Caption"/>
        <w:keepNext/>
      </w:pPr>
      <w:r>
        <w:t xml:space="preserve">Table </w:t>
      </w:r>
      <w:r>
        <w:fldChar w:fldCharType="begin"/>
      </w:r>
      <w:r>
        <w:instrText xml:space="preserve"> SEQ Table \* ARABIC </w:instrText>
      </w:r>
      <w:r>
        <w:fldChar w:fldCharType="separate"/>
      </w:r>
      <w:r>
        <w:rPr>
          <w:noProof/>
        </w:rPr>
        <w:t>1</w:t>
      </w:r>
      <w:r>
        <w:fldChar w:fldCharType="end"/>
      </w:r>
      <w:r>
        <w:t>. The proposed items for Technical Performance requirements (TPRs) of IMT-2030. The TPRs</w:t>
      </w:r>
      <w:r>
        <w:rPr>
          <w:noProof/>
        </w:rPr>
        <w:t xml:space="preserve"> in green are carried over from IMT-2020 with some updates, while the TPRs in blue are completely new.</w:t>
      </w:r>
    </w:p>
    <w:tbl>
      <w:tblPr>
        <w:tblStyle w:val="TableGrid"/>
        <w:tblW w:w="9781" w:type="dxa"/>
        <w:tblInd w:w="-5" w:type="dxa"/>
        <w:tblLook w:val="04A0" w:firstRow="1" w:lastRow="0" w:firstColumn="1" w:lastColumn="0" w:noHBand="0" w:noVBand="1"/>
      </w:tblPr>
      <w:tblGrid>
        <w:gridCol w:w="2694"/>
        <w:gridCol w:w="1314"/>
        <w:gridCol w:w="5773"/>
      </w:tblGrid>
      <w:tr w:rsidR="00C91DDB" w14:paraId="65CA8274" w14:textId="77777777" w:rsidTr="00B2358B">
        <w:tc>
          <w:tcPr>
            <w:tcW w:w="2694" w:type="dxa"/>
          </w:tcPr>
          <w:p w14:paraId="771F6326" w14:textId="0D827A3B" w:rsidR="00C91DDB" w:rsidRPr="007F2619" w:rsidRDefault="00C91DDB" w:rsidP="00DC2DDB">
            <w:pPr>
              <w:pStyle w:val="B1"/>
              <w:spacing w:after="120"/>
              <w:ind w:left="0" w:firstLine="0"/>
              <w:rPr>
                <w:b/>
                <w:bCs/>
                <w:sz w:val="18"/>
                <w:szCs w:val="18"/>
              </w:rPr>
            </w:pPr>
            <w:r w:rsidRPr="007F2619">
              <w:rPr>
                <w:b/>
                <w:bCs/>
                <w:sz w:val="18"/>
                <w:szCs w:val="18"/>
              </w:rPr>
              <w:t>TPR</w:t>
            </w:r>
          </w:p>
        </w:tc>
        <w:tc>
          <w:tcPr>
            <w:tcW w:w="1314" w:type="dxa"/>
          </w:tcPr>
          <w:p w14:paraId="0A2B9155" w14:textId="3AF2E6B1" w:rsidR="00C91DDB" w:rsidRPr="007F2619" w:rsidRDefault="00C91DDB" w:rsidP="00DC2DDB">
            <w:pPr>
              <w:pStyle w:val="B1"/>
              <w:spacing w:after="120"/>
              <w:ind w:left="0" w:firstLine="0"/>
              <w:rPr>
                <w:b/>
                <w:bCs/>
                <w:sz w:val="18"/>
                <w:szCs w:val="18"/>
              </w:rPr>
            </w:pPr>
            <w:r w:rsidRPr="007F2619">
              <w:rPr>
                <w:b/>
                <w:bCs/>
                <w:sz w:val="18"/>
                <w:szCs w:val="18"/>
              </w:rPr>
              <w:t>Evaluation methodology</w:t>
            </w:r>
          </w:p>
        </w:tc>
        <w:tc>
          <w:tcPr>
            <w:tcW w:w="5773" w:type="dxa"/>
          </w:tcPr>
          <w:p w14:paraId="44732C57" w14:textId="275F7083" w:rsidR="00C91DDB" w:rsidRPr="007F2619" w:rsidRDefault="00C91DDB" w:rsidP="00DC2DDB">
            <w:pPr>
              <w:pStyle w:val="B1"/>
              <w:spacing w:after="120"/>
              <w:ind w:left="0" w:firstLine="0"/>
              <w:rPr>
                <w:b/>
                <w:bCs/>
                <w:sz w:val="18"/>
                <w:szCs w:val="18"/>
              </w:rPr>
            </w:pPr>
            <w:r w:rsidRPr="007F2619">
              <w:rPr>
                <w:b/>
                <w:bCs/>
                <w:sz w:val="18"/>
                <w:szCs w:val="18"/>
              </w:rPr>
              <w:t>Comments</w:t>
            </w:r>
          </w:p>
        </w:tc>
      </w:tr>
      <w:tr w:rsidR="002E6AB1" w14:paraId="622FC37D" w14:textId="77777777" w:rsidTr="00B2358B">
        <w:tc>
          <w:tcPr>
            <w:tcW w:w="2694" w:type="dxa"/>
            <w:shd w:val="clear" w:color="auto" w:fill="E2EFD9" w:themeFill="accent6" w:themeFillTint="33"/>
          </w:tcPr>
          <w:p w14:paraId="24FB8EEF" w14:textId="5FF6573F" w:rsidR="00C91DDB" w:rsidRPr="007F2619" w:rsidRDefault="002A58D7" w:rsidP="00DC2DDB">
            <w:pPr>
              <w:pStyle w:val="B1"/>
              <w:spacing w:after="120"/>
              <w:ind w:left="0" w:firstLine="0"/>
              <w:rPr>
                <w:sz w:val="18"/>
                <w:szCs w:val="18"/>
              </w:rPr>
            </w:pPr>
            <w:r w:rsidRPr="007F2619">
              <w:rPr>
                <w:sz w:val="18"/>
                <w:szCs w:val="18"/>
              </w:rPr>
              <w:t>Peak Data Rate</w:t>
            </w:r>
          </w:p>
        </w:tc>
        <w:tc>
          <w:tcPr>
            <w:tcW w:w="1314" w:type="dxa"/>
            <w:shd w:val="clear" w:color="auto" w:fill="E2EFD9" w:themeFill="accent6" w:themeFillTint="33"/>
          </w:tcPr>
          <w:p w14:paraId="61A724CA" w14:textId="67F3D0E6" w:rsidR="005E7EE7" w:rsidRPr="007F2619" w:rsidRDefault="0044059F" w:rsidP="00DC2DDB">
            <w:pPr>
              <w:pStyle w:val="B1"/>
              <w:spacing w:after="120"/>
              <w:ind w:left="0" w:firstLine="0"/>
              <w:rPr>
                <w:sz w:val="18"/>
                <w:szCs w:val="18"/>
              </w:rPr>
            </w:pPr>
            <w:r w:rsidRPr="007F2619">
              <w:rPr>
                <w:sz w:val="18"/>
                <w:szCs w:val="18"/>
              </w:rPr>
              <w:t>Analyti</w:t>
            </w:r>
            <w:r w:rsidR="005E7EE7" w:rsidRPr="007F2619">
              <w:rPr>
                <w:sz w:val="18"/>
                <w:szCs w:val="18"/>
              </w:rPr>
              <w:t>cal</w:t>
            </w:r>
          </w:p>
        </w:tc>
        <w:tc>
          <w:tcPr>
            <w:tcW w:w="5773" w:type="dxa"/>
            <w:shd w:val="clear" w:color="auto" w:fill="E2EFD9" w:themeFill="accent6" w:themeFillTint="33"/>
          </w:tcPr>
          <w:p w14:paraId="643B3B89" w14:textId="77777777" w:rsidR="00C91DDB" w:rsidRPr="007F2619" w:rsidRDefault="00C91DDB" w:rsidP="00DC2DDB">
            <w:pPr>
              <w:pStyle w:val="B1"/>
              <w:spacing w:after="120"/>
              <w:ind w:left="0" w:firstLine="0"/>
              <w:rPr>
                <w:sz w:val="18"/>
                <w:szCs w:val="18"/>
              </w:rPr>
            </w:pPr>
          </w:p>
        </w:tc>
      </w:tr>
      <w:tr w:rsidR="002E6AB1" w14:paraId="20E5FE03" w14:textId="77777777" w:rsidTr="00B2358B">
        <w:tc>
          <w:tcPr>
            <w:tcW w:w="2694" w:type="dxa"/>
            <w:shd w:val="clear" w:color="auto" w:fill="E2EFD9" w:themeFill="accent6" w:themeFillTint="33"/>
          </w:tcPr>
          <w:p w14:paraId="5D6B8A38" w14:textId="06E0B920" w:rsidR="00C91DDB" w:rsidRPr="007F2619" w:rsidRDefault="002A58D7" w:rsidP="00DC2DDB">
            <w:pPr>
              <w:pStyle w:val="B1"/>
              <w:spacing w:after="120"/>
              <w:ind w:left="0" w:firstLine="0"/>
              <w:rPr>
                <w:sz w:val="18"/>
                <w:szCs w:val="18"/>
              </w:rPr>
            </w:pPr>
            <w:r w:rsidRPr="007F2619">
              <w:rPr>
                <w:sz w:val="18"/>
                <w:szCs w:val="18"/>
              </w:rPr>
              <w:t>Peak Spectral Efficiency</w:t>
            </w:r>
          </w:p>
        </w:tc>
        <w:tc>
          <w:tcPr>
            <w:tcW w:w="1314" w:type="dxa"/>
            <w:shd w:val="clear" w:color="auto" w:fill="E2EFD9" w:themeFill="accent6" w:themeFillTint="33"/>
          </w:tcPr>
          <w:p w14:paraId="01A27132" w14:textId="69375BE1" w:rsidR="00C91DDB" w:rsidRPr="007F2619" w:rsidRDefault="005E7EE7" w:rsidP="00DC2DDB">
            <w:pPr>
              <w:pStyle w:val="B1"/>
              <w:spacing w:after="120"/>
              <w:ind w:left="0" w:firstLine="0"/>
              <w:rPr>
                <w:sz w:val="18"/>
                <w:szCs w:val="18"/>
              </w:rPr>
            </w:pPr>
            <w:r w:rsidRPr="007F2619">
              <w:rPr>
                <w:sz w:val="18"/>
                <w:szCs w:val="18"/>
              </w:rPr>
              <w:t>Analytical</w:t>
            </w:r>
          </w:p>
        </w:tc>
        <w:tc>
          <w:tcPr>
            <w:tcW w:w="5773" w:type="dxa"/>
            <w:shd w:val="clear" w:color="auto" w:fill="E2EFD9" w:themeFill="accent6" w:themeFillTint="33"/>
          </w:tcPr>
          <w:p w14:paraId="4FDD3F63" w14:textId="77777777" w:rsidR="00C91DDB" w:rsidRPr="007F2619" w:rsidRDefault="00C91DDB" w:rsidP="00DC2DDB">
            <w:pPr>
              <w:pStyle w:val="B1"/>
              <w:spacing w:after="120"/>
              <w:ind w:left="0" w:firstLine="0"/>
              <w:rPr>
                <w:sz w:val="18"/>
                <w:szCs w:val="18"/>
              </w:rPr>
            </w:pPr>
          </w:p>
        </w:tc>
      </w:tr>
      <w:tr w:rsidR="002E6AB1" w14:paraId="7725AAC6" w14:textId="77777777" w:rsidTr="00B2358B">
        <w:tc>
          <w:tcPr>
            <w:tcW w:w="2694" w:type="dxa"/>
            <w:shd w:val="clear" w:color="auto" w:fill="E2EFD9" w:themeFill="accent6" w:themeFillTint="33"/>
          </w:tcPr>
          <w:p w14:paraId="324E830C" w14:textId="5CBC01A4" w:rsidR="00C91DDB" w:rsidRPr="007F2619" w:rsidRDefault="002A58D7" w:rsidP="00DC2DDB">
            <w:pPr>
              <w:pStyle w:val="B1"/>
              <w:spacing w:after="120"/>
              <w:ind w:left="0" w:firstLine="0"/>
              <w:rPr>
                <w:sz w:val="18"/>
                <w:szCs w:val="18"/>
              </w:rPr>
            </w:pPr>
            <w:r w:rsidRPr="007F2619">
              <w:rPr>
                <w:sz w:val="18"/>
                <w:szCs w:val="18"/>
              </w:rPr>
              <w:t>User Experienced Data Rate</w:t>
            </w:r>
          </w:p>
        </w:tc>
        <w:tc>
          <w:tcPr>
            <w:tcW w:w="1314" w:type="dxa"/>
            <w:shd w:val="clear" w:color="auto" w:fill="E2EFD9" w:themeFill="accent6" w:themeFillTint="33"/>
          </w:tcPr>
          <w:p w14:paraId="0906218E" w14:textId="07682D77" w:rsidR="00C91DDB" w:rsidRPr="007F2619" w:rsidRDefault="001148F3" w:rsidP="00DC2DDB">
            <w:pPr>
              <w:pStyle w:val="B1"/>
              <w:spacing w:after="120"/>
              <w:ind w:left="0" w:firstLine="0"/>
              <w:rPr>
                <w:sz w:val="18"/>
                <w:szCs w:val="18"/>
              </w:rPr>
            </w:pPr>
            <w:r w:rsidRPr="007F2619">
              <w:rPr>
                <w:sz w:val="18"/>
                <w:szCs w:val="18"/>
              </w:rPr>
              <w:t>Simulation</w:t>
            </w:r>
          </w:p>
        </w:tc>
        <w:tc>
          <w:tcPr>
            <w:tcW w:w="5773" w:type="dxa"/>
            <w:shd w:val="clear" w:color="auto" w:fill="E2EFD9" w:themeFill="accent6" w:themeFillTint="33"/>
          </w:tcPr>
          <w:p w14:paraId="4B41EEEC" w14:textId="77777777" w:rsidR="00C91DDB" w:rsidRPr="007F2619" w:rsidRDefault="00C91DDB" w:rsidP="00DC2DDB">
            <w:pPr>
              <w:pStyle w:val="B1"/>
              <w:spacing w:after="120"/>
              <w:ind w:left="0" w:firstLine="0"/>
              <w:rPr>
                <w:sz w:val="18"/>
                <w:szCs w:val="18"/>
              </w:rPr>
            </w:pPr>
          </w:p>
        </w:tc>
      </w:tr>
      <w:tr w:rsidR="002E6AB1" w14:paraId="294FF845" w14:textId="77777777" w:rsidTr="00B2358B">
        <w:tc>
          <w:tcPr>
            <w:tcW w:w="2694" w:type="dxa"/>
            <w:shd w:val="clear" w:color="auto" w:fill="E2EFD9" w:themeFill="accent6" w:themeFillTint="33"/>
          </w:tcPr>
          <w:p w14:paraId="7B155B2C" w14:textId="7F395BBC" w:rsidR="00C91DDB" w:rsidRPr="007F2619" w:rsidRDefault="002A58D7" w:rsidP="00DC2DDB">
            <w:pPr>
              <w:pStyle w:val="B1"/>
              <w:spacing w:after="120"/>
              <w:ind w:left="0" w:firstLine="0"/>
              <w:rPr>
                <w:sz w:val="18"/>
                <w:szCs w:val="18"/>
              </w:rPr>
            </w:pPr>
            <w:r w:rsidRPr="007F2619">
              <w:rPr>
                <w:sz w:val="18"/>
                <w:szCs w:val="18"/>
              </w:rPr>
              <w:t>Spectral Efficiency</w:t>
            </w:r>
          </w:p>
        </w:tc>
        <w:tc>
          <w:tcPr>
            <w:tcW w:w="1314" w:type="dxa"/>
            <w:shd w:val="clear" w:color="auto" w:fill="E2EFD9" w:themeFill="accent6" w:themeFillTint="33"/>
          </w:tcPr>
          <w:p w14:paraId="7D57A0E4" w14:textId="57DAF462" w:rsidR="00C91DDB" w:rsidRPr="007F2619" w:rsidRDefault="001148F3" w:rsidP="00DC2DDB">
            <w:pPr>
              <w:pStyle w:val="B1"/>
              <w:spacing w:after="120"/>
              <w:ind w:left="0" w:firstLine="0"/>
              <w:rPr>
                <w:sz w:val="18"/>
                <w:szCs w:val="18"/>
              </w:rPr>
            </w:pPr>
            <w:r w:rsidRPr="007F2619">
              <w:rPr>
                <w:sz w:val="18"/>
                <w:szCs w:val="18"/>
              </w:rPr>
              <w:t>Simulation</w:t>
            </w:r>
          </w:p>
        </w:tc>
        <w:tc>
          <w:tcPr>
            <w:tcW w:w="5773" w:type="dxa"/>
            <w:shd w:val="clear" w:color="auto" w:fill="E2EFD9" w:themeFill="accent6" w:themeFillTint="33"/>
          </w:tcPr>
          <w:p w14:paraId="25C4390D" w14:textId="2F1DE5BB" w:rsidR="00C91DDB" w:rsidRPr="007F2619" w:rsidRDefault="1DC9B762" w:rsidP="00DC2DDB">
            <w:pPr>
              <w:pStyle w:val="B1"/>
              <w:spacing w:after="120"/>
              <w:ind w:left="0" w:firstLine="0"/>
              <w:rPr>
                <w:sz w:val="18"/>
                <w:szCs w:val="18"/>
              </w:rPr>
            </w:pPr>
            <w:r w:rsidRPr="007F2619">
              <w:rPr>
                <w:sz w:val="18"/>
                <w:szCs w:val="18"/>
              </w:rPr>
              <w:t>Bot</w:t>
            </w:r>
            <w:r w:rsidR="61C99FF2" w:rsidRPr="007F2619">
              <w:rPr>
                <w:sz w:val="18"/>
                <w:szCs w:val="18"/>
              </w:rPr>
              <w:t>h</w:t>
            </w:r>
            <w:r w:rsidRPr="007F2619">
              <w:rPr>
                <w:sz w:val="18"/>
                <w:szCs w:val="18"/>
              </w:rPr>
              <w:t xml:space="preserve"> average and 5</w:t>
            </w:r>
            <w:r w:rsidRPr="007F2619">
              <w:rPr>
                <w:sz w:val="18"/>
                <w:szCs w:val="18"/>
                <w:vertAlign w:val="superscript"/>
              </w:rPr>
              <w:t>th</w:t>
            </w:r>
            <w:r w:rsidRPr="007F2619">
              <w:rPr>
                <w:sz w:val="18"/>
                <w:szCs w:val="18"/>
              </w:rPr>
              <w:t xml:space="preserve"> percentile</w:t>
            </w:r>
          </w:p>
        </w:tc>
      </w:tr>
      <w:tr w:rsidR="002E6AB1" w14:paraId="50339645" w14:textId="77777777" w:rsidTr="00B2358B">
        <w:tc>
          <w:tcPr>
            <w:tcW w:w="2694" w:type="dxa"/>
            <w:shd w:val="clear" w:color="auto" w:fill="E2EFD9" w:themeFill="accent6" w:themeFillTint="33"/>
          </w:tcPr>
          <w:p w14:paraId="350AEBB8" w14:textId="374FE10B" w:rsidR="00A26122" w:rsidRPr="007F2619" w:rsidRDefault="00013BA7" w:rsidP="00DC2DDB">
            <w:pPr>
              <w:pStyle w:val="B1"/>
              <w:spacing w:after="120"/>
              <w:ind w:left="0" w:firstLine="0"/>
              <w:rPr>
                <w:sz w:val="18"/>
                <w:szCs w:val="18"/>
              </w:rPr>
            </w:pPr>
            <w:r w:rsidRPr="007F2619">
              <w:rPr>
                <w:sz w:val="18"/>
                <w:szCs w:val="18"/>
              </w:rPr>
              <w:t>Area Traffic Capacity</w:t>
            </w:r>
          </w:p>
        </w:tc>
        <w:tc>
          <w:tcPr>
            <w:tcW w:w="1314" w:type="dxa"/>
            <w:shd w:val="clear" w:color="auto" w:fill="E2EFD9" w:themeFill="accent6" w:themeFillTint="33"/>
          </w:tcPr>
          <w:p w14:paraId="7F01C383" w14:textId="2A18EBA0" w:rsidR="00A26122" w:rsidRPr="007F2619" w:rsidRDefault="003C4B31" w:rsidP="00DC2DDB">
            <w:pPr>
              <w:pStyle w:val="B1"/>
              <w:spacing w:after="120"/>
              <w:ind w:left="0" w:firstLine="0"/>
              <w:rPr>
                <w:sz w:val="18"/>
                <w:szCs w:val="18"/>
              </w:rPr>
            </w:pPr>
            <w:r w:rsidRPr="007F2619">
              <w:rPr>
                <w:sz w:val="18"/>
                <w:szCs w:val="18"/>
              </w:rPr>
              <w:t>Analytical</w:t>
            </w:r>
          </w:p>
        </w:tc>
        <w:tc>
          <w:tcPr>
            <w:tcW w:w="5773" w:type="dxa"/>
            <w:shd w:val="clear" w:color="auto" w:fill="E2EFD9" w:themeFill="accent6" w:themeFillTint="33"/>
          </w:tcPr>
          <w:p w14:paraId="01B67859" w14:textId="77777777" w:rsidR="00A26122" w:rsidRPr="007F2619" w:rsidRDefault="00A26122" w:rsidP="00DC2DDB">
            <w:pPr>
              <w:pStyle w:val="B1"/>
              <w:spacing w:after="120"/>
              <w:ind w:left="0" w:firstLine="0"/>
              <w:rPr>
                <w:sz w:val="18"/>
                <w:szCs w:val="18"/>
              </w:rPr>
            </w:pPr>
          </w:p>
        </w:tc>
      </w:tr>
      <w:tr w:rsidR="002E6AB1" w14:paraId="5862F231" w14:textId="77777777" w:rsidTr="00B2358B">
        <w:tc>
          <w:tcPr>
            <w:tcW w:w="2694" w:type="dxa"/>
            <w:shd w:val="clear" w:color="auto" w:fill="E2EFD9" w:themeFill="accent6" w:themeFillTint="33"/>
          </w:tcPr>
          <w:p w14:paraId="7BF42C21" w14:textId="338001CD" w:rsidR="00B5097D" w:rsidRPr="007F2619" w:rsidRDefault="00B5097D" w:rsidP="00DC2DDB">
            <w:pPr>
              <w:pStyle w:val="B1"/>
              <w:spacing w:after="120"/>
              <w:ind w:left="0" w:firstLine="0"/>
              <w:rPr>
                <w:sz w:val="18"/>
                <w:szCs w:val="18"/>
              </w:rPr>
            </w:pPr>
            <w:r w:rsidRPr="007F2619">
              <w:rPr>
                <w:sz w:val="18"/>
                <w:szCs w:val="18"/>
              </w:rPr>
              <w:t>User Plane Latency</w:t>
            </w:r>
          </w:p>
        </w:tc>
        <w:tc>
          <w:tcPr>
            <w:tcW w:w="1314" w:type="dxa"/>
            <w:shd w:val="clear" w:color="auto" w:fill="E2EFD9" w:themeFill="accent6" w:themeFillTint="33"/>
          </w:tcPr>
          <w:p w14:paraId="614DEF9D" w14:textId="50D1E5CC" w:rsidR="00B5097D" w:rsidRPr="007F2619" w:rsidRDefault="00B5097D" w:rsidP="00DC2DDB">
            <w:pPr>
              <w:pStyle w:val="B1"/>
              <w:spacing w:after="120"/>
              <w:ind w:left="0" w:firstLine="0"/>
              <w:rPr>
                <w:sz w:val="18"/>
                <w:szCs w:val="18"/>
              </w:rPr>
            </w:pPr>
            <w:r w:rsidRPr="007F2619">
              <w:rPr>
                <w:sz w:val="18"/>
                <w:szCs w:val="18"/>
              </w:rPr>
              <w:t>Analytical</w:t>
            </w:r>
          </w:p>
        </w:tc>
        <w:tc>
          <w:tcPr>
            <w:tcW w:w="5773" w:type="dxa"/>
            <w:shd w:val="clear" w:color="auto" w:fill="E2EFD9" w:themeFill="accent6" w:themeFillTint="33"/>
          </w:tcPr>
          <w:p w14:paraId="05EE3D2B" w14:textId="677C9A6A" w:rsidR="00B5097D" w:rsidRPr="007F2619" w:rsidRDefault="00863406" w:rsidP="00DC2DDB">
            <w:pPr>
              <w:pStyle w:val="B1"/>
              <w:spacing w:after="120"/>
              <w:ind w:left="0" w:firstLine="0"/>
              <w:rPr>
                <w:sz w:val="18"/>
                <w:szCs w:val="18"/>
              </w:rPr>
            </w:pPr>
            <w:r w:rsidRPr="007F2619">
              <w:rPr>
                <w:sz w:val="18"/>
                <w:szCs w:val="18"/>
              </w:rPr>
              <w:t xml:space="preserve">No need to reduce UP latency below 1 </w:t>
            </w:r>
            <w:proofErr w:type="spellStart"/>
            <w:r w:rsidRPr="007F2619">
              <w:rPr>
                <w:sz w:val="18"/>
                <w:szCs w:val="18"/>
              </w:rPr>
              <w:t>ms</w:t>
            </w:r>
            <w:proofErr w:type="spellEnd"/>
            <w:r w:rsidRPr="007F2619">
              <w:rPr>
                <w:sz w:val="18"/>
                <w:szCs w:val="18"/>
              </w:rPr>
              <w:t>.</w:t>
            </w:r>
          </w:p>
        </w:tc>
      </w:tr>
      <w:tr w:rsidR="002E6AB1" w14:paraId="041A1111" w14:textId="77777777" w:rsidTr="00B2358B">
        <w:tc>
          <w:tcPr>
            <w:tcW w:w="2694" w:type="dxa"/>
            <w:shd w:val="clear" w:color="auto" w:fill="E2EFD9" w:themeFill="accent6" w:themeFillTint="33"/>
          </w:tcPr>
          <w:p w14:paraId="66F2181E" w14:textId="1F699229" w:rsidR="00B5097D" w:rsidRPr="007F2619" w:rsidRDefault="00B5097D" w:rsidP="00DC2DDB">
            <w:pPr>
              <w:pStyle w:val="B1"/>
              <w:spacing w:after="120"/>
              <w:ind w:left="0" w:firstLine="0"/>
              <w:rPr>
                <w:sz w:val="18"/>
                <w:szCs w:val="18"/>
              </w:rPr>
            </w:pPr>
            <w:r w:rsidRPr="007F2619">
              <w:rPr>
                <w:sz w:val="18"/>
                <w:szCs w:val="18"/>
              </w:rPr>
              <w:t>Control Plane Latency</w:t>
            </w:r>
          </w:p>
        </w:tc>
        <w:tc>
          <w:tcPr>
            <w:tcW w:w="1314" w:type="dxa"/>
            <w:shd w:val="clear" w:color="auto" w:fill="E2EFD9" w:themeFill="accent6" w:themeFillTint="33"/>
          </w:tcPr>
          <w:p w14:paraId="70941A53" w14:textId="3018FA93" w:rsidR="00B5097D" w:rsidRPr="007F2619" w:rsidRDefault="00B5097D" w:rsidP="00DC2DDB">
            <w:pPr>
              <w:pStyle w:val="B1"/>
              <w:spacing w:after="120"/>
              <w:ind w:left="0" w:firstLine="0"/>
              <w:rPr>
                <w:sz w:val="18"/>
                <w:szCs w:val="18"/>
              </w:rPr>
            </w:pPr>
            <w:r w:rsidRPr="007F2619">
              <w:rPr>
                <w:sz w:val="18"/>
                <w:szCs w:val="18"/>
              </w:rPr>
              <w:t>Analytical</w:t>
            </w:r>
          </w:p>
        </w:tc>
        <w:tc>
          <w:tcPr>
            <w:tcW w:w="5773" w:type="dxa"/>
            <w:shd w:val="clear" w:color="auto" w:fill="E2EFD9" w:themeFill="accent6" w:themeFillTint="33"/>
          </w:tcPr>
          <w:p w14:paraId="7CC2E3C6" w14:textId="2A0ABAE2" w:rsidR="00B5097D" w:rsidRPr="007F2619" w:rsidRDefault="00B5097D" w:rsidP="00DC2DDB">
            <w:pPr>
              <w:pStyle w:val="B1"/>
              <w:spacing w:after="120"/>
              <w:ind w:left="0" w:firstLine="0"/>
              <w:rPr>
                <w:sz w:val="18"/>
                <w:szCs w:val="18"/>
              </w:rPr>
            </w:pPr>
          </w:p>
        </w:tc>
      </w:tr>
      <w:tr w:rsidR="002E6AB1" w14:paraId="509C8C72" w14:textId="77777777" w:rsidTr="00B2358B">
        <w:tc>
          <w:tcPr>
            <w:tcW w:w="2694" w:type="dxa"/>
            <w:shd w:val="clear" w:color="auto" w:fill="E2EFD9" w:themeFill="accent6" w:themeFillTint="33"/>
          </w:tcPr>
          <w:p w14:paraId="682B1002" w14:textId="49519E69" w:rsidR="00B5097D" w:rsidRPr="007F2619" w:rsidRDefault="00B5097D" w:rsidP="00DC2DDB">
            <w:pPr>
              <w:pStyle w:val="B1"/>
              <w:spacing w:after="120"/>
              <w:ind w:left="0" w:firstLine="0"/>
              <w:rPr>
                <w:sz w:val="18"/>
                <w:szCs w:val="18"/>
              </w:rPr>
            </w:pPr>
            <w:r w:rsidRPr="007F2619">
              <w:rPr>
                <w:sz w:val="18"/>
                <w:szCs w:val="18"/>
              </w:rPr>
              <w:t>Connection Density</w:t>
            </w:r>
          </w:p>
        </w:tc>
        <w:tc>
          <w:tcPr>
            <w:tcW w:w="1314" w:type="dxa"/>
            <w:shd w:val="clear" w:color="auto" w:fill="E2EFD9" w:themeFill="accent6" w:themeFillTint="33"/>
          </w:tcPr>
          <w:p w14:paraId="57120267" w14:textId="05984E5E" w:rsidR="00B5097D" w:rsidRPr="007F2619" w:rsidRDefault="00B5097D" w:rsidP="00DC2DDB">
            <w:pPr>
              <w:pStyle w:val="B1"/>
              <w:spacing w:after="120"/>
              <w:ind w:left="0" w:firstLine="0"/>
              <w:rPr>
                <w:sz w:val="18"/>
                <w:szCs w:val="18"/>
              </w:rPr>
            </w:pPr>
            <w:r w:rsidRPr="007F2619">
              <w:rPr>
                <w:sz w:val="18"/>
                <w:szCs w:val="18"/>
              </w:rPr>
              <w:t>Analytical</w:t>
            </w:r>
          </w:p>
        </w:tc>
        <w:tc>
          <w:tcPr>
            <w:tcW w:w="5773" w:type="dxa"/>
            <w:shd w:val="clear" w:color="auto" w:fill="E2EFD9" w:themeFill="accent6" w:themeFillTint="33"/>
          </w:tcPr>
          <w:p w14:paraId="68F315E9" w14:textId="77777777" w:rsidR="00B5097D" w:rsidRPr="007F2619" w:rsidRDefault="00B5097D" w:rsidP="00DC2DDB">
            <w:pPr>
              <w:pStyle w:val="B1"/>
              <w:spacing w:after="120"/>
              <w:ind w:left="0" w:firstLine="0"/>
              <w:rPr>
                <w:sz w:val="18"/>
                <w:szCs w:val="18"/>
              </w:rPr>
            </w:pPr>
          </w:p>
        </w:tc>
      </w:tr>
      <w:tr w:rsidR="002E6AB1" w14:paraId="610D84CF" w14:textId="77777777" w:rsidTr="00B2358B">
        <w:tc>
          <w:tcPr>
            <w:tcW w:w="2694" w:type="dxa"/>
            <w:shd w:val="clear" w:color="auto" w:fill="E2EFD9" w:themeFill="accent6" w:themeFillTint="33"/>
          </w:tcPr>
          <w:p w14:paraId="20C4D479" w14:textId="0A1AAB24" w:rsidR="00B5097D" w:rsidRPr="007F2619" w:rsidRDefault="00B5097D" w:rsidP="00DC2DDB">
            <w:pPr>
              <w:pStyle w:val="B1"/>
              <w:spacing w:after="120"/>
              <w:ind w:left="0" w:firstLine="0"/>
              <w:rPr>
                <w:sz w:val="18"/>
                <w:szCs w:val="18"/>
              </w:rPr>
            </w:pPr>
            <w:r w:rsidRPr="007F2619">
              <w:rPr>
                <w:sz w:val="18"/>
                <w:szCs w:val="18"/>
              </w:rPr>
              <w:t>Energy Efficiency</w:t>
            </w:r>
          </w:p>
        </w:tc>
        <w:tc>
          <w:tcPr>
            <w:tcW w:w="1314" w:type="dxa"/>
            <w:shd w:val="clear" w:color="auto" w:fill="E2EFD9" w:themeFill="accent6" w:themeFillTint="33"/>
          </w:tcPr>
          <w:p w14:paraId="3A17DE61" w14:textId="3C242FC3" w:rsidR="00B5097D" w:rsidRPr="007F2619" w:rsidRDefault="00B5097D" w:rsidP="00DC2DDB">
            <w:pPr>
              <w:pStyle w:val="B1"/>
              <w:spacing w:after="120"/>
              <w:ind w:left="0" w:firstLine="0"/>
              <w:rPr>
                <w:sz w:val="18"/>
                <w:szCs w:val="18"/>
              </w:rPr>
            </w:pPr>
            <w:r w:rsidRPr="007F2619">
              <w:rPr>
                <w:sz w:val="18"/>
                <w:szCs w:val="18"/>
              </w:rPr>
              <w:t>Analytical</w:t>
            </w:r>
          </w:p>
        </w:tc>
        <w:tc>
          <w:tcPr>
            <w:tcW w:w="5773" w:type="dxa"/>
            <w:shd w:val="clear" w:color="auto" w:fill="E2EFD9" w:themeFill="accent6" w:themeFillTint="33"/>
          </w:tcPr>
          <w:p w14:paraId="40BB0076" w14:textId="534921B5" w:rsidR="00B5097D" w:rsidRPr="007F2619" w:rsidRDefault="00B5097D" w:rsidP="00DC2DDB">
            <w:pPr>
              <w:pStyle w:val="B1"/>
              <w:spacing w:after="120"/>
              <w:ind w:left="0" w:firstLine="0"/>
              <w:rPr>
                <w:sz w:val="18"/>
                <w:szCs w:val="18"/>
              </w:rPr>
            </w:pPr>
            <w:r w:rsidRPr="007F2619">
              <w:rPr>
                <w:sz w:val="18"/>
                <w:szCs w:val="18"/>
              </w:rPr>
              <w:t xml:space="preserve">Requirements for sleep ratio and sleep duration. </w:t>
            </w:r>
          </w:p>
        </w:tc>
      </w:tr>
      <w:tr w:rsidR="002E6AB1" w14:paraId="61F4C8C4" w14:textId="77777777" w:rsidTr="00B2358B">
        <w:tc>
          <w:tcPr>
            <w:tcW w:w="2694" w:type="dxa"/>
            <w:shd w:val="clear" w:color="auto" w:fill="E2EFD9" w:themeFill="accent6" w:themeFillTint="33"/>
          </w:tcPr>
          <w:p w14:paraId="5288D96F" w14:textId="2479BF7F" w:rsidR="00B5097D" w:rsidRPr="007F2619" w:rsidRDefault="00B5097D" w:rsidP="00DC2DDB">
            <w:pPr>
              <w:pStyle w:val="B1"/>
              <w:spacing w:after="120"/>
              <w:ind w:left="0" w:firstLine="0"/>
              <w:rPr>
                <w:sz w:val="18"/>
                <w:szCs w:val="18"/>
              </w:rPr>
            </w:pPr>
            <w:r w:rsidRPr="007F2619">
              <w:rPr>
                <w:sz w:val="18"/>
                <w:szCs w:val="18"/>
              </w:rPr>
              <w:t>Reliability</w:t>
            </w:r>
          </w:p>
        </w:tc>
        <w:tc>
          <w:tcPr>
            <w:tcW w:w="1314" w:type="dxa"/>
            <w:shd w:val="clear" w:color="auto" w:fill="E2EFD9" w:themeFill="accent6" w:themeFillTint="33"/>
          </w:tcPr>
          <w:p w14:paraId="670A69E3" w14:textId="7CE87865" w:rsidR="00B5097D" w:rsidRPr="007F2619" w:rsidRDefault="00B5097D" w:rsidP="00DC2DDB">
            <w:pPr>
              <w:pStyle w:val="B1"/>
              <w:spacing w:after="120"/>
              <w:ind w:left="0" w:firstLine="0"/>
              <w:rPr>
                <w:sz w:val="18"/>
                <w:szCs w:val="18"/>
              </w:rPr>
            </w:pPr>
            <w:r w:rsidRPr="007F2619">
              <w:rPr>
                <w:sz w:val="18"/>
                <w:szCs w:val="18"/>
              </w:rPr>
              <w:t>Simulation</w:t>
            </w:r>
          </w:p>
        </w:tc>
        <w:tc>
          <w:tcPr>
            <w:tcW w:w="5773" w:type="dxa"/>
            <w:shd w:val="clear" w:color="auto" w:fill="E2EFD9" w:themeFill="accent6" w:themeFillTint="33"/>
          </w:tcPr>
          <w:p w14:paraId="158D1F41" w14:textId="355D420E" w:rsidR="00B5097D" w:rsidRPr="007F2619" w:rsidRDefault="00B5097D" w:rsidP="00DC2DDB">
            <w:pPr>
              <w:pStyle w:val="B1"/>
              <w:spacing w:after="120"/>
              <w:ind w:left="0" w:firstLine="0"/>
              <w:rPr>
                <w:sz w:val="18"/>
                <w:szCs w:val="18"/>
              </w:rPr>
            </w:pPr>
            <w:r w:rsidRPr="007F2619">
              <w:rPr>
                <w:sz w:val="18"/>
                <w:szCs w:val="18"/>
              </w:rPr>
              <w:t xml:space="preserve">The evaluation scenarios can be extended beyond URLLC to cover new use cases such as AI, XR, etc with moderately low latency (a few </w:t>
            </w:r>
            <w:proofErr w:type="spellStart"/>
            <w:r w:rsidRPr="007F2619">
              <w:rPr>
                <w:sz w:val="18"/>
                <w:szCs w:val="18"/>
              </w:rPr>
              <w:t>ms</w:t>
            </w:r>
            <w:proofErr w:type="spellEnd"/>
            <w:r w:rsidRPr="007F2619">
              <w:rPr>
                <w:sz w:val="18"/>
                <w:szCs w:val="18"/>
              </w:rPr>
              <w:t xml:space="preserve">) and medium to high data rates. </w:t>
            </w:r>
          </w:p>
        </w:tc>
      </w:tr>
      <w:tr w:rsidR="002E6AB1" w14:paraId="25F666EE" w14:textId="77777777" w:rsidTr="00B2358B">
        <w:tc>
          <w:tcPr>
            <w:tcW w:w="2694" w:type="dxa"/>
            <w:shd w:val="clear" w:color="auto" w:fill="E2EFD9" w:themeFill="accent6" w:themeFillTint="33"/>
          </w:tcPr>
          <w:p w14:paraId="239D54AD" w14:textId="671D9475" w:rsidR="00B5097D" w:rsidRPr="007F2619" w:rsidRDefault="00B5097D" w:rsidP="00DC2DDB">
            <w:pPr>
              <w:pStyle w:val="B1"/>
              <w:spacing w:after="120"/>
              <w:ind w:left="0" w:firstLine="0"/>
              <w:rPr>
                <w:sz w:val="18"/>
                <w:szCs w:val="18"/>
              </w:rPr>
            </w:pPr>
            <w:r w:rsidRPr="007F2619">
              <w:rPr>
                <w:sz w:val="18"/>
                <w:szCs w:val="18"/>
              </w:rPr>
              <w:t>Mobility</w:t>
            </w:r>
          </w:p>
        </w:tc>
        <w:tc>
          <w:tcPr>
            <w:tcW w:w="1314" w:type="dxa"/>
            <w:shd w:val="clear" w:color="auto" w:fill="E2EFD9" w:themeFill="accent6" w:themeFillTint="33"/>
          </w:tcPr>
          <w:p w14:paraId="65C63BB3" w14:textId="74D548BC" w:rsidR="00B5097D" w:rsidRPr="007F2619" w:rsidRDefault="00B5097D" w:rsidP="00DC2DDB">
            <w:pPr>
              <w:pStyle w:val="B1"/>
              <w:spacing w:after="120"/>
              <w:ind w:left="0" w:firstLine="0"/>
              <w:rPr>
                <w:sz w:val="18"/>
                <w:szCs w:val="18"/>
              </w:rPr>
            </w:pPr>
            <w:r w:rsidRPr="007F2619">
              <w:rPr>
                <w:sz w:val="18"/>
                <w:szCs w:val="18"/>
              </w:rPr>
              <w:t>Simulation</w:t>
            </w:r>
          </w:p>
        </w:tc>
        <w:tc>
          <w:tcPr>
            <w:tcW w:w="5773" w:type="dxa"/>
            <w:shd w:val="clear" w:color="auto" w:fill="E2EFD9" w:themeFill="accent6" w:themeFillTint="33"/>
          </w:tcPr>
          <w:p w14:paraId="00ED2D7B" w14:textId="35543FBF" w:rsidR="00B5097D" w:rsidRPr="007F2619" w:rsidRDefault="00B5097D" w:rsidP="00DC2DDB">
            <w:pPr>
              <w:pStyle w:val="B1"/>
              <w:spacing w:after="120"/>
              <w:ind w:left="0" w:firstLine="0"/>
              <w:rPr>
                <w:sz w:val="18"/>
                <w:szCs w:val="18"/>
              </w:rPr>
            </w:pPr>
            <w:r w:rsidRPr="007F2619">
              <w:rPr>
                <w:sz w:val="18"/>
                <w:szCs w:val="18"/>
              </w:rPr>
              <w:t>Same mobility classes as in IMT-2020 are sufficient.</w:t>
            </w:r>
          </w:p>
        </w:tc>
      </w:tr>
      <w:tr w:rsidR="002E6AB1" w14:paraId="6F4A8D76" w14:textId="77777777" w:rsidTr="00B2358B">
        <w:tc>
          <w:tcPr>
            <w:tcW w:w="2694" w:type="dxa"/>
            <w:shd w:val="clear" w:color="auto" w:fill="E2EFD9" w:themeFill="accent6" w:themeFillTint="33"/>
          </w:tcPr>
          <w:p w14:paraId="3929ABF4" w14:textId="01036FDD" w:rsidR="00B5097D" w:rsidRPr="007F2619" w:rsidRDefault="00B5097D" w:rsidP="00DC2DDB">
            <w:pPr>
              <w:pStyle w:val="B1"/>
              <w:spacing w:after="120"/>
              <w:ind w:left="0" w:firstLine="0"/>
              <w:rPr>
                <w:sz w:val="18"/>
                <w:szCs w:val="18"/>
              </w:rPr>
            </w:pPr>
            <w:r w:rsidRPr="007F2619">
              <w:rPr>
                <w:sz w:val="18"/>
                <w:szCs w:val="18"/>
              </w:rPr>
              <w:t>Mobility Interruption Time</w:t>
            </w:r>
          </w:p>
        </w:tc>
        <w:tc>
          <w:tcPr>
            <w:tcW w:w="1314" w:type="dxa"/>
            <w:shd w:val="clear" w:color="auto" w:fill="E2EFD9" w:themeFill="accent6" w:themeFillTint="33"/>
          </w:tcPr>
          <w:p w14:paraId="0EB6855D" w14:textId="7BE71CF7" w:rsidR="00B5097D" w:rsidRPr="007F2619" w:rsidRDefault="00B5097D" w:rsidP="00DC2DDB">
            <w:pPr>
              <w:pStyle w:val="B1"/>
              <w:spacing w:after="120"/>
              <w:ind w:left="0" w:firstLine="0"/>
              <w:rPr>
                <w:sz w:val="18"/>
                <w:szCs w:val="18"/>
              </w:rPr>
            </w:pPr>
            <w:r w:rsidRPr="007F2619">
              <w:rPr>
                <w:sz w:val="18"/>
                <w:szCs w:val="18"/>
              </w:rPr>
              <w:t>Analytical</w:t>
            </w:r>
          </w:p>
        </w:tc>
        <w:tc>
          <w:tcPr>
            <w:tcW w:w="5773" w:type="dxa"/>
            <w:shd w:val="clear" w:color="auto" w:fill="E2EFD9" w:themeFill="accent6" w:themeFillTint="33"/>
          </w:tcPr>
          <w:p w14:paraId="0B26EC79" w14:textId="77777777" w:rsidR="00B5097D" w:rsidRPr="007F2619" w:rsidRDefault="00B5097D" w:rsidP="00DC2DDB">
            <w:pPr>
              <w:pStyle w:val="B1"/>
              <w:spacing w:after="120"/>
              <w:ind w:left="0" w:firstLine="0"/>
              <w:rPr>
                <w:sz w:val="18"/>
                <w:szCs w:val="18"/>
              </w:rPr>
            </w:pPr>
          </w:p>
        </w:tc>
      </w:tr>
      <w:tr w:rsidR="002E6AB1" w14:paraId="01F4EF9C" w14:textId="77777777" w:rsidTr="00B2358B">
        <w:tc>
          <w:tcPr>
            <w:tcW w:w="2694" w:type="dxa"/>
            <w:shd w:val="clear" w:color="auto" w:fill="E2EFD9" w:themeFill="accent6" w:themeFillTint="33"/>
          </w:tcPr>
          <w:p w14:paraId="329FBD73" w14:textId="4D40A47F" w:rsidR="00B5097D" w:rsidRPr="007F2619" w:rsidRDefault="00B5097D" w:rsidP="00DC2DDB">
            <w:pPr>
              <w:pStyle w:val="B1"/>
              <w:spacing w:after="120"/>
              <w:ind w:left="0" w:firstLine="0"/>
              <w:rPr>
                <w:sz w:val="18"/>
                <w:szCs w:val="18"/>
              </w:rPr>
            </w:pPr>
            <w:r w:rsidRPr="007F2619">
              <w:rPr>
                <w:sz w:val="18"/>
                <w:szCs w:val="18"/>
              </w:rPr>
              <w:t xml:space="preserve">Bandwidth </w:t>
            </w:r>
          </w:p>
        </w:tc>
        <w:tc>
          <w:tcPr>
            <w:tcW w:w="1314" w:type="dxa"/>
            <w:shd w:val="clear" w:color="auto" w:fill="E2EFD9" w:themeFill="accent6" w:themeFillTint="33"/>
          </w:tcPr>
          <w:p w14:paraId="3533AC56" w14:textId="5F4DF86F" w:rsidR="00B5097D" w:rsidRPr="007F2619" w:rsidRDefault="00B5097D" w:rsidP="00DC2DDB">
            <w:pPr>
              <w:pStyle w:val="B1"/>
              <w:spacing w:after="120"/>
              <w:ind w:left="0" w:firstLine="0"/>
              <w:rPr>
                <w:sz w:val="18"/>
                <w:szCs w:val="18"/>
              </w:rPr>
            </w:pPr>
            <w:r w:rsidRPr="007F2619">
              <w:rPr>
                <w:sz w:val="18"/>
                <w:szCs w:val="18"/>
              </w:rPr>
              <w:t>Inspection</w:t>
            </w:r>
          </w:p>
        </w:tc>
        <w:tc>
          <w:tcPr>
            <w:tcW w:w="5773" w:type="dxa"/>
            <w:shd w:val="clear" w:color="auto" w:fill="E2EFD9" w:themeFill="accent6" w:themeFillTint="33"/>
          </w:tcPr>
          <w:p w14:paraId="1A6724A1" w14:textId="5D5221B8" w:rsidR="00B5097D" w:rsidRPr="007F2619" w:rsidRDefault="79B2EDF4" w:rsidP="00DC2DDB">
            <w:pPr>
              <w:pStyle w:val="B1"/>
              <w:spacing w:after="120"/>
              <w:ind w:left="0" w:firstLine="0"/>
              <w:rPr>
                <w:sz w:val="18"/>
                <w:szCs w:val="18"/>
              </w:rPr>
            </w:pPr>
            <w:r w:rsidRPr="007F2619">
              <w:rPr>
                <w:sz w:val="18"/>
                <w:szCs w:val="18"/>
              </w:rPr>
              <w:t xml:space="preserve">400 MHz minimum BW (e.g. </w:t>
            </w:r>
            <w:r w:rsidR="2BAC66A2" w:rsidRPr="007F2619">
              <w:rPr>
                <w:sz w:val="18"/>
                <w:szCs w:val="18"/>
              </w:rPr>
              <w:t>1 x 4</w:t>
            </w:r>
            <w:r w:rsidRPr="007F2619">
              <w:rPr>
                <w:sz w:val="18"/>
                <w:szCs w:val="18"/>
              </w:rPr>
              <w:t>00 MHz</w:t>
            </w:r>
            <w:r w:rsidR="3161D3C3" w:rsidRPr="007F2619">
              <w:rPr>
                <w:sz w:val="18"/>
                <w:szCs w:val="18"/>
              </w:rPr>
              <w:t xml:space="preserve"> or 2 x 200 MHz)</w:t>
            </w:r>
          </w:p>
        </w:tc>
      </w:tr>
      <w:tr w:rsidR="002E6AB1" w14:paraId="12CB0AB9" w14:textId="77777777" w:rsidTr="00B2358B">
        <w:tc>
          <w:tcPr>
            <w:tcW w:w="2694" w:type="dxa"/>
            <w:shd w:val="clear" w:color="auto" w:fill="E2EFD9" w:themeFill="accent6" w:themeFillTint="33"/>
          </w:tcPr>
          <w:p w14:paraId="689C4C11" w14:textId="702728A2" w:rsidR="00B5097D" w:rsidRPr="007F2619" w:rsidRDefault="00B5097D" w:rsidP="00DC2DDB">
            <w:pPr>
              <w:pStyle w:val="B1"/>
              <w:spacing w:after="120"/>
              <w:ind w:left="0" w:firstLine="0"/>
              <w:rPr>
                <w:sz w:val="18"/>
                <w:szCs w:val="18"/>
              </w:rPr>
            </w:pPr>
            <w:r w:rsidRPr="007F2619">
              <w:rPr>
                <w:sz w:val="18"/>
                <w:szCs w:val="18"/>
              </w:rPr>
              <w:t>Support of wide range of services</w:t>
            </w:r>
          </w:p>
        </w:tc>
        <w:tc>
          <w:tcPr>
            <w:tcW w:w="1314" w:type="dxa"/>
            <w:shd w:val="clear" w:color="auto" w:fill="E2EFD9" w:themeFill="accent6" w:themeFillTint="33"/>
          </w:tcPr>
          <w:p w14:paraId="4F1F2143" w14:textId="7DABEA94" w:rsidR="00B5097D" w:rsidRPr="007F2619" w:rsidRDefault="00B5097D" w:rsidP="00DC2DDB">
            <w:pPr>
              <w:pStyle w:val="B1"/>
              <w:spacing w:after="120"/>
              <w:ind w:left="0" w:firstLine="0"/>
              <w:rPr>
                <w:sz w:val="18"/>
                <w:szCs w:val="18"/>
              </w:rPr>
            </w:pPr>
            <w:r w:rsidRPr="007F2619">
              <w:rPr>
                <w:sz w:val="18"/>
                <w:szCs w:val="18"/>
              </w:rPr>
              <w:t>Inspection</w:t>
            </w:r>
          </w:p>
        </w:tc>
        <w:tc>
          <w:tcPr>
            <w:tcW w:w="5773" w:type="dxa"/>
            <w:shd w:val="clear" w:color="auto" w:fill="E2EFD9" w:themeFill="accent6" w:themeFillTint="33"/>
          </w:tcPr>
          <w:p w14:paraId="784BE632" w14:textId="77777777" w:rsidR="00B5097D" w:rsidRPr="007F2619" w:rsidRDefault="00B5097D" w:rsidP="00DC2DDB">
            <w:pPr>
              <w:pStyle w:val="B1"/>
              <w:spacing w:after="120"/>
              <w:ind w:left="0" w:firstLine="0"/>
              <w:rPr>
                <w:sz w:val="18"/>
                <w:szCs w:val="18"/>
              </w:rPr>
            </w:pPr>
          </w:p>
        </w:tc>
      </w:tr>
      <w:tr w:rsidR="002E6AB1" w14:paraId="264D0787" w14:textId="77777777" w:rsidTr="00B2358B">
        <w:tc>
          <w:tcPr>
            <w:tcW w:w="2694" w:type="dxa"/>
            <w:shd w:val="clear" w:color="auto" w:fill="E2EFD9" w:themeFill="accent6" w:themeFillTint="33"/>
          </w:tcPr>
          <w:p w14:paraId="126706BE" w14:textId="66E31280" w:rsidR="00B5097D" w:rsidRPr="007F2619" w:rsidRDefault="00B5097D" w:rsidP="00DC2DDB">
            <w:pPr>
              <w:pStyle w:val="B1"/>
              <w:spacing w:after="120"/>
              <w:ind w:left="0" w:firstLine="0"/>
              <w:rPr>
                <w:sz w:val="18"/>
                <w:szCs w:val="18"/>
              </w:rPr>
            </w:pPr>
            <w:r w:rsidRPr="007F2619">
              <w:rPr>
                <w:sz w:val="18"/>
                <w:szCs w:val="18"/>
              </w:rPr>
              <w:t>Supported spectrum band(s)/range(s)</w:t>
            </w:r>
          </w:p>
        </w:tc>
        <w:tc>
          <w:tcPr>
            <w:tcW w:w="1314" w:type="dxa"/>
            <w:shd w:val="clear" w:color="auto" w:fill="E2EFD9" w:themeFill="accent6" w:themeFillTint="33"/>
          </w:tcPr>
          <w:p w14:paraId="157A6EF5" w14:textId="52CCF0B0" w:rsidR="00B5097D" w:rsidRPr="007F2619" w:rsidRDefault="00B5097D" w:rsidP="00DC2DDB">
            <w:pPr>
              <w:pStyle w:val="B1"/>
              <w:spacing w:after="120"/>
              <w:ind w:left="0" w:firstLine="0"/>
              <w:rPr>
                <w:sz w:val="18"/>
                <w:szCs w:val="18"/>
              </w:rPr>
            </w:pPr>
            <w:r w:rsidRPr="007F2619">
              <w:rPr>
                <w:sz w:val="18"/>
                <w:szCs w:val="18"/>
              </w:rPr>
              <w:t>Inspection</w:t>
            </w:r>
          </w:p>
        </w:tc>
        <w:tc>
          <w:tcPr>
            <w:tcW w:w="5773" w:type="dxa"/>
            <w:shd w:val="clear" w:color="auto" w:fill="E2EFD9" w:themeFill="accent6" w:themeFillTint="33"/>
          </w:tcPr>
          <w:p w14:paraId="14FF6EDE" w14:textId="77777777" w:rsidR="00B5097D" w:rsidRPr="007F2619" w:rsidRDefault="00B5097D" w:rsidP="00DC2DDB">
            <w:pPr>
              <w:pStyle w:val="B1"/>
              <w:spacing w:after="120"/>
              <w:ind w:left="0" w:firstLine="0"/>
              <w:rPr>
                <w:sz w:val="18"/>
                <w:szCs w:val="18"/>
              </w:rPr>
            </w:pPr>
          </w:p>
        </w:tc>
      </w:tr>
      <w:tr w:rsidR="002E6AB1" w14:paraId="432E957D" w14:textId="77777777" w:rsidTr="00B2358B">
        <w:tc>
          <w:tcPr>
            <w:tcW w:w="2694" w:type="dxa"/>
            <w:shd w:val="clear" w:color="auto" w:fill="DEEAF6" w:themeFill="accent5" w:themeFillTint="33"/>
          </w:tcPr>
          <w:p w14:paraId="711E25C2" w14:textId="22EC9F1C" w:rsidR="00B5097D" w:rsidRPr="007F2619" w:rsidRDefault="00B5097D" w:rsidP="00DC2DDB">
            <w:pPr>
              <w:pStyle w:val="B1"/>
              <w:spacing w:after="120"/>
              <w:ind w:left="0" w:firstLine="0"/>
              <w:rPr>
                <w:sz w:val="18"/>
                <w:szCs w:val="18"/>
              </w:rPr>
            </w:pPr>
            <w:r w:rsidRPr="007F2619">
              <w:rPr>
                <w:sz w:val="18"/>
                <w:szCs w:val="18"/>
              </w:rPr>
              <w:t>Positioning</w:t>
            </w:r>
            <w:r w:rsidR="00133E70" w:rsidRPr="007F2619">
              <w:rPr>
                <w:sz w:val="18"/>
                <w:szCs w:val="18"/>
              </w:rPr>
              <w:t xml:space="preserve"> (New)</w:t>
            </w:r>
          </w:p>
        </w:tc>
        <w:tc>
          <w:tcPr>
            <w:tcW w:w="1314" w:type="dxa"/>
            <w:shd w:val="clear" w:color="auto" w:fill="DEEAF6" w:themeFill="accent5" w:themeFillTint="33"/>
          </w:tcPr>
          <w:p w14:paraId="2C9B8448" w14:textId="77777777" w:rsidR="00B5097D" w:rsidRPr="007F2619" w:rsidRDefault="00B5097D" w:rsidP="00DC2DDB">
            <w:pPr>
              <w:pStyle w:val="B1"/>
              <w:spacing w:after="120"/>
              <w:ind w:left="0" w:firstLine="0"/>
              <w:rPr>
                <w:sz w:val="18"/>
                <w:szCs w:val="18"/>
              </w:rPr>
            </w:pPr>
            <w:r w:rsidRPr="007F2619">
              <w:rPr>
                <w:sz w:val="18"/>
                <w:szCs w:val="18"/>
              </w:rPr>
              <w:t>Simulation</w:t>
            </w:r>
          </w:p>
        </w:tc>
        <w:tc>
          <w:tcPr>
            <w:tcW w:w="5773" w:type="dxa"/>
            <w:shd w:val="clear" w:color="auto" w:fill="DEEAF6" w:themeFill="accent5" w:themeFillTint="33"/>
          </w:tcPr>
          <w:p w14:paraId="652E7AEC" w14:textId="6DC82BCA" w:rsidR="00B5097D" w:rsidRPr="007F2619" w:rsidRDefault="00133E70" w:rsidP="00DC2DDB">
            <w:pPr>
              <w:pStyle w:val="B1"/>
              <w:spacing w:after="120"/>
              <w:ind w:left="0" w:firstLine="0"/>
              <w:rPr>
                <w:sz w:val="18"/>
                <w:szCs w:val="18"/>
              </w:rPr>
            </w:pPr>
            <w:r w:rsidRPr="007F2619">
              <w:rPr>
                <w:sz w:val="18"/>
                <w:szCs w:val="18"/>
              </w:rPr>
              <w:t xml:space="preserve">Define requirements for vertical and horizontal positioning accuracy. The requirements need to </w:t>
            </w:r>
            <w:proofErr w:type="gramStart"/>
            <w:r w:rsidRPr="007F2619">
              <w:rPr>
                <w:sz w:val="18"/>
                <w:szCs w:val="18"/>
              </w:rPr>
              <w:t>take into account</w:t>
            </w:r>
            <w:proofErr w:type="gramEnd"/>
            <w:r w:rsidRPr="007F2619">
              <w:rPr>
                <w:sz w:val="18"/>
                <w:szCs w:val="18"/>
              </w:rPr>
              <w:t xml:space="preserve"> the deployment scenarios, and same </w:t>
            </w:r>
            <w:r w:rsidR="00AD7E76" w:rsidRPr="007F2619">
              <w:rPr>
                <w:sz w:val="18"/>
                <w:szCs w:val="18"/>
              </w:rPr>
              <w:t>accuracy cannot be assumed in all cases</w:t>
            </w:r>
            <w:r w:rsidR="00BF6584" w:rsidRPr="007F2619">
              <w:rPr>
                <w:sz w:val="18"/>
                <w:szCs w:val="18"/>
              </w:rPr>
              <w:t>.</w:t>
            </w:r>
          </w:p>
        </w:tc>
      </w:tr>
      <w:tr w:rsidR="002E6AB1" w14:paraId="14728875" w14:textId="77777777" w:rsidTr="00B2358B">
        <w:tc>
          <w:tcPr>
            <w:tcW w:w="2694" w:type="dxa"/>
            <w:shd w:val="clear" w:color="auto" w:fill="DEEAF6" w:themeFill="accent5" w:themeFillTint="33"/>
          </w:tcPr>
          <w:p w14:paraId="6D29A982" w14:textId="6C4FFFDF" w:rsidR="00B5097D" w:rsidRPr="007F2619" w:rsidRDefault="00B5097D" w:rsidP="00DC2DDB">
            <w:pPr>
              <w:pStyle w:val="B1"/>
              <w:spacing w:after="120"/>
              <w:ind w:left="0" w:firstLine="0"/>
              <w:rPr>
                <w:sz w:val="18"/>
                <w:szCs w:val="18"/>
              </w:rPr>
            </w:pPr>
            <w:r w:rsidRPr="007F2619">
              <w:rPr>
                <w:sz w:val="18"/>
                <w:szCs w:val="18"/>
              </w:rPr>
              <w:t>Sensing</w:t>
            </w:r>
            <w:r w:rsidR="00681471" w:rsidRPr="007F2619">
              <w:rPr>
                <w:sz w:val="18"/>
                <w:szCs w:val="18"/>
              </w:rPr>
              <w:t xml:space="preserve"> (New)</w:t>
            </w:r>
          </w:p>
        </w:tc>
        <w:tc>
          <w:tcPr>
            <w:tcW w:w="1314" w:type="dxa"/>
            <w:shd w:val="clear" w:color="auto" w:fill="DEEAF6" w:themeFill="accent5" w:themeFillTint="33"/>
          </w:tcPr>
          <w:p w14:paraId="7258DCE8" w14:textId="77777777" w:rsidR="00B5097D" w:rsidRPr="007F2619" w:rsidRDefault="00B5097D" w:rsidP="00DC2DDB">
            <w:pPr>
              <w:pStyle w:val="B1"/>
              <w:spacing w:after="120"/>
              <w:ind w:left="0" w:firstLine="0"/>
              <w:rPr>
                <w:sz w:val="18"/>
                <w:szCs w:val="18"/>
              </w:rPr>
            </w:pPr>
            <w:r w:rsidRPr="007F2619">
              <w:rPr>
                <w:sz w:val="18"/>
                <w:szCs w:val="18"/>
              </w:rPr>
              <w:t>[Analytical or Simulation]</w:t>
            </w:r>
          </w:p>
        </w:tc>
        <w:tc>
          <w:tcPr>
            <w:tcW w:w="5773" w:type="dxa"/>
            <w:shd w:val="clear" w:color="auto" w:fill="DEEAF6" w:themeFill="accent5" w:themeFillTint="33"/>
          </w:tcPr>
          <w:p w14:paraId="561F93B6" w14:textId="3B1B1569" w:rsidR="00B5097D" w:rsidRPr="007F2619" w:rsidRDefault="00B5097D" w:rsidP="00DC2DDB">
            <w:pPr>
              <w:pStyle w:val="B1"/>
              <w:spacing w:after="120"/>
              <w:ind w:left="0" w:firstLine="0"/>
              <w:rPr>
                <w:sz w:val="18"/>
                <w:szCs w:val="18"/>
              </w:rPr>
            </w:pPr>
            <w:r w:rsidRPr="007F2619">
              <w:rPr>
                <w:sz w:val="18"/>
                <w:szCs w:val="18"/>
              </w:rPr>
              <w:t xml:space="preserve">Focus on TPRs that are use-case agnostic, e.g. </w:t>
            </w:r>
            <w:r w:rsidR="00697C16" w:rsidRPr="007F2619">
              <w:rPr>
                <w:sz w:val="18"/>
                <w:szCs w:val="18"/>
              </w:rPr>
              <w:t>localization</w:t>
            </w:r>
            <w:r w:rsidRPr="007F2619">
              <w:rPr>
                <w:sz w:val="18"/>
                <w:szCs w:val="18"/>
              </w:rPr>
              <w:t xml:space="preserve"> accuracy and/or resolution, while considering detection probability and fals</w:t>
            </w:r>
            <w:r w:rsidR="00697C16" w:rsidRPr="007F2619">
              <w:rPr>
                <w:sz w:val="18"/>
                <w:szCs w:val="18"/>
              </w:rPr>
              <w:t>e</w:t>
            </w:r>
            <w:r w:rsidRPr="007F2619">
              <w:rPr>
                <w:sz w:val="18"/>
                <w:szCs w:val="18"/>
              </w:rPr>
              <w:t xml:space="preserve"> alarm rate as side conditions.</w:t>
            </w:r>
          </w:p>
        </w:tc>
      </w:tr>
    </w:tbl>
    <w:p w14:paraId="4599D243" w14:textId="77777777" w:rsidR="007F2619" w:rsidRDefault="007F2619" w:rsidP="00D77807"/>
    <w:p w14:paraId="18A081DF" w14:textId="760554F9" w:rsidR="00D77807" w:rsidRDefault="00D77807" w:rsidP="00D77807">
      <w:r>
        <w:t xml:space="preserve">Furthermore, technical performance requirements are tightly coupled with the evaluation assumptions. While the details of the evaluation parameters will only be discussed later in ITU-R WP 5D, it is beneficial to agree the assumption on carrier frequency at an early phase. We propose to indicate to ITU-R </w:t>
      </w:r>
      <w:r w:rsidR="0014393C">
        <w:t xml:space="preserve">WP 5D </w:t>
      </w:r>
      <w:r>
        <w:t xml:space="preserve">that 7 GHz carrier frequency </w:t>
      </w:r>
      <w:r w:rsidR="00EE58FB">
        <w:t>is</w:t>
      </w:r>
      <w:r>
        <w:t xml:space="preserve"> included into evaluation parameters of IMT-2030, to reflect the frequency ranges 6.425-7.125 and 7.125-8.4 GHz.  </w:t>
      </w:r>
    </w:p>
    <w:p w14:paraId="60A31689" w14:textId="717B46E7" w:rsidR="00D77807" w:rsidRDefault="00D77807" w:rsidP="00D77807">
      <w:pPr>
        <w:rPr>
          <w:b/>
          <w:bCs/>
          <w:i/>
          <w:iCs/>
        </w:rPr>
      </w:pPr>
      <w:r w:rsidRPr="79C377AA">
        <w:rPr>
          <w:b/>
          <w:bCs/>
          <w:i/>
          <w:iCs/>
        </w:rPr>
        <w:t>Proposal</w:t>
      </w:r>
      <w:r>
        <w:rPr>
          <w:b/>
          <w:bCs/>
          <w:i/>
          <w:iCs/>
        </w:rPr>
        <w:t xml:space="preserve"> </w:t>
      </w:r>
      <w:r w:rsidR="00131EC5">
        <w:rPr>
          <w:b/>
          <w:bCs/>
          <w:i/>
          <w:iCs/>
        </w:rPr>
        <w:t>2</w:t>
      </w:r>
      <w:r w:rsidRPr="79C377AA">
        <w:rPr>
          <w:b/>
          <w:bCs/>
          <w:i/>
          <w:iCs/>
        </w:rPr>
        <w:t>: 7 GHz carrier frequency is included in the set of evaluation parameters of IMT-2030</w:t>
      </w:r>
      <w:r w:rsidRPr="7BC15266">
        <w:rPr>
          <w:b/>
          <w:bCs/>
          <w:i/>
          <w:iCs/>
        </w:rPr>
        <w:t xml:space="preserve">, to reflect the </w:t>
      </w:r>
      <w:r w:rsidRPr="066D49E1">
        <w:rPr>
          <w:b/>
          <w:bCs/>
          <w:i/>
          <w:iCs/>
        </w:rPr>
        <w:t>frequency</w:t>
      </w:r>
      <w:r w:rsidRPr="5C9489D1">
        <w:rPr>
          <w:b/>
          <w:bCs/>
          <w:i/>
          <w:iCs/>
        </w:rPr>
        <w:t xml:space="preserve"> </w:t>
      </w:r>
      <w:r w:rsidRPr="2AEF4D7E">
        <w:rPr>
          <w:b/>
          <w:bCs/>
          <w:i/>
          <w:iCs/>
        </w:rPr>
        <w:t>ranges</w:t>
      </w:r>
      <w:r w:rsidRPr="64DD69A0">
        <w:rPr>
          <w:b/>
          <w:bCs/>
          <w:i/>
          <w:iCs/>
        </w:rPr>
        <w:t xml:space="preserve"> </w:t>
      </w:r>
      <w:r w:rsidRPr="0850D7C8">
        <w:rPr>
          <w:b/>
          <w:bCs/>
          <w:i/>
          <w:iCs/>
        </w:rPr>
        <w:t>6.</w:t>
      </w:r>
      <w:r w:rsidRPr="0EB0D7EA">
        <w:rPr>
          <w:b/>
          <w:bCs/>
          <w:i/>
          <w:iCs/>
        </w:rPr>
        <w:t>425</w:t>
      </w:r>
      <w:r w:rsidRPr="4FB48E30">
        <w:rPr>
          <w:b/>
          <w:bCs/>
          <w:i/>
          <w:iCs/>
        </w:rPr>
        <w:t>-7.</w:t>
      </w:r>
      <w:r w:rsidRPr="3245CCC2">
        <w:rPr>
          <w:b/>
          <w:bCs/>
          <w:i/>
          <w:iCs/>
        </w:rPr>
        <w:t>125</w:t>
      </w:r>
      <w:r w:rsidRPr="0850D7C8">
        <w:rPr>
          <w:b/>
          <w:bCs/>
          <w:i/>
          <w:iCs/>
        </w:rPr>
        <w:t xml:space="preserve"> </w:t>
      </w:r>
      <w:r w:rsidRPr="40C0E67A">
        <w:rPr>
          <w:b/>
          <w:bCs/>
          <w:i/>
          <w:iCs/>
        </w:rPr>
        <w:t>and 7.125</w:t>
      </w:r>
      <w:r w:rsidRPr="13A2ED6B">
        <w:rPr>
          <w:b/>
          <w:bCs/>
          <w:i/>
          <w:iCs/>
        </w:rPr>
        <w:t>-</w:t>
      </w:r>
      <w:r w:rsidRPr="7D0499BE">
        <w:rPr>
          <w:b/>
          <w:bCs/>
          <w:i/>
          <w:iCs/>
        </w:rPr>
        <w:t>8</w:t>
      </w:r>
      <w:r w:rsidRPr="0850D7C8">
        <w:rPr>
          <w:b/>
          <w:bCs/>
          <w:i/>
          <w:iCs/>
        </w:rPr>
        <w:t xml:space="preserve">.4 </w:t>
      </w:r>
      <w:r w:rsidRPr="51B6F965">
        <w:rPr>
          <w:b/>
          <w:bCs/>
          <w:i/>
          <w:iCs/>
        </w:rPr>
        <w:t>GHz</w:t>
      </w:r>
      <w:r w:rsidRPr="0850D7C8">
        <w:rPr>
          <w:b/>
          <w:bCs/>
          <w:i/>
          <w:iCs/>
        </w:rPr>
        <w:t xml:space="preserve">. </w:t>
      </w:r>
    </w:p>
    <w:p w14:paraId="3903F985" w14:textId="3A0A301B" w:rsidR="00131EC5" w:rsidRPr="008F358D" w:rsidRDefault="00131EC5" w:rsidP="00131EC5">
      <w:r>
        <w:t xml:space="preserve">Regarding the bandwidth assumed in </w:t>
      </w:r>
      <w:r w:rsidR="00597168">
        <w:t xml:space="preserve">the </w:t>
      </w:r>
      <w:r>
        <w:t xml:space="preserve">evaluations, to </w:t>
      </w:r>
      <w:r w:rsidRPr="008F358D">
        <w:t xml:space="preserve">align with the proposed minimum bandwidth of 400 MHz, 400 MHz and 200 MHz channel bandwidths should be considered at least in some evaluation scenarios. </w:t>
      </w:r>
    </w:p>
    <w:p w14:paraId="6888251A" w14:textId="20805261" w:rsidR="00131EC5" w:rsidRDefault="00131EC5" w:rsidP="00131EC5">
      <w:pPr>
        <w:pStyle w:val="B1"/>
        <w:ind w:left="0" w:firstLine="0"/>
        <w:rPr>
          <w:b/>
          <w:bCs/>
          <w:i/>
          <w:iCs/>
        </w:rPr>
      </w:pPr>
      <w:r w:rsidRPr="008F358D">
        <w:rPr>
          <w:b/>
          <w:bCs/>
          <w:i/>
          <w:iCs/>
        </w:rPr>
        <w:t>Proposal</w:t>
      </w:r>
      <w:r>
        <w:rPr>
          <w:b/>
          <w:bCs/>
          <w:i/>
          <w:iCs/>
        </w:rPr>
        <w:t xml:space="preserve"> 3</w:t>
      </w:r>
      <w:r w:rsidRPr="008F358D">
        <w:rPr>
          <w:b/>
          <w:bCs/>
          <w:i/>
          <w:iCs/>
        </w:rPr>
        <w:t xml:space="preserve">: 400 MHz and 200 MHz channel bandwidths are included in the set of evaluation parameters of IMT-2030.  </w:t>
      </w:r>
    </w:p>
    <w:bookmarkEnd w:id="1"/>
    <w:p w14:paraId="0F5BEB5C" w14:textId="77777777" w:rsidR="00F107D0" w:rsidRPr="008F358D" w:rsidRDefault="00F107D0" w:rsidP="007B24F2">
      <w:pPr>
        <w:pStyle w:val="Heading1"/>
      </w:pPr>
      <w:r w:rsidRPr="008F358D">
        <w:lastRenderedPageBreak/>
        <w:t>References</w:t>
      </w:r>
    </w:p>
    <w:p w14:paraId="6350BF03" w14:textId="529BFCD5" w:rsidR="00B25833" w:rsidRPr="00F268F7" w:rsidRDefault="00536D15" w:rsidP="00EE2F29">
      <w:pPr>
        <w:pStyle w:val="Reference"/>
        <w:numPr>
          <w:ilvl w:val="0"/>
          <w:numId w:val="20"/>
        </w:numPr>
        <w:rPr>
          <w:lang w:val="en-GB"/>
        </w:rPr>
      </w:pPr>
      <w:hyperlink r:id="rId16" w:tgtFrame="_blank" w:tooltip="https://www.3gpp.org/ftp/tsg_sa/tsg_sa/tsgs_106_madrid_2024-12/docs/sp-241439.zip" w:history="1">
        <w:r w:rsidRPr="00F268F7">
          <w:rPr>
            <w:rStyle w:val="Hyperlink"/>
            <w:color w:val="auto"/>
            <w:lang w:val="en-GB"/>
          </w:rPr>
          <w:t>SP-241439</w:t>
        </w:r>
      </w:hyperlink>
      <w:r w:rsidRPr="00F268F7">
        <w:rPr>
          <w:lang w:val="en-GB"/>
        </w:rPr>
        <w:t xml:space="preserve"> , </w:t>
      </w:r>
      <w:r w:rsidR="001F3172" w:rsidRPr="00F268F7">
        <w:rPr>
          <w:lang w:val="en-GB"/>
        </w:rPr>
        <w:t>“</w:t>
      </w:r>
      <w:r w:rsidR="00EE2F29" w:rsidRPr="00F268F7">
        <w:rPr>
          <w:i/>
          <w:iCs/>
          <w:lang w:val="en-GB"/>
        </w:rPr>
        <w:t xml:space="preserve">LIAISON STATEMENT TO EXTERNAL ORGANIZATIONS: Minimum requirements related to </w:t>
      </w:r>
      <w:proofErr w:type="gramStart"/>
      <w:r w:rsidR="00EE2F29" w:rsidRPr="00F268F7">
        <w:rPr>
          <w:i/>
          <w:iCs/>
          <w:lang w:val="en-GB"/>
        </w:rPr>
        <w:t>technical  performance</w:t>
      </w:r>
      <w:proofErr w:type="gramEnd"/>
      <w:r w:rsidR="00EE2F29" w:rsidRPr="00F268F7">
        <w:rPr>
          <w:i/>
          <w:iCs/>
          <w:lang w:val="en-GB"/>
        </w:rPr>
        <w:t xml:space="preserve"> for IMT-2030 radio interface(s)</w:t>
      </w:r>
      <w:r w:rsidR="001F3172" w:rsidRPr="00F268F7">
        <w:rPr>
          <w:i/>
          <w:iCs/>
          <w:lang w:val="en-GB"/>
        </w:rPr>
        <w:t>”,</w:t>
      </w:r>
      <w:r w:rsidR="001F3172" w:rsidRPr="008F358D">
        <w:rPr>
          <w:lang w:val="en-GB"/>
        </w:rPr>
        <w:t xml:space="preserve"> ITU-R WP 5D</w:t>
      </w:r>
    </w:p>
    <w:sectPr w:rsidR="00B25833" w:rsidRPr="00F268F7" w:rsidSect="00571B3F">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pgMar w:top="1411" w:right="1138" w:bottom="1138" w:left="1138" w:header="850" w:footer="346"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06D66FE" w14:textId="77777777" w:rsidR="007C31BD" w:rsidRDefault="007C31BD" w:rsidP="000B02AA">
      <w:pPr>
        <w:spacing w:after="0"/>
      </w:pPr>
      <w:r>
        <w:separator/>
      </w:r>
    </w:p>
  </w:endnote>
  <w:endnote w:type="continuationSeparator" w:id="0">
    <w:p w14:paraId="4A6EDC88" w14:textId="77777777" w:rsidR="007C31BD" w:rsidRDefault="007C31BD" w:rsidP="000B02AA">
      <w:pPr>
        <w:spacing w:after="0"/>
      </w:pPr>
      <w:r>
        <w:continuationSeparator/>
      </w:r>
    </w:p>
  </w:endnote>
  <w:endnote w:type="continuationNotice" w:id="1">
    <w:p w14:paraId="54E270B8" w14:textId="77777777" w:rsidR="007C31BD" w:rsidRDefault="007C31B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quot;Segoe UI&quot;,sans-serif">
    <w:altName w:val="Cambria"/>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pitch w:val="fixed"/>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CA1147" w14:textId="77777777" w:rsidR="00783438" w:rsidRDefault="0078343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8C6DB8" w14:textId="77777777" w:rsidR="00783438" w:rsidRDefault="0078343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BAB462" w14:textId="77777777" w:rsidR="00783438" w:rsidRDefault="0078343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07CBECB" w14:textId="77777777" w:rsidR="007C31BD" w:rsidRDefault="007C31BD" w:rsidP="000B02AA">
      <w:pPr>
        <w:spacing w:after="0"/>
      </w:pPr>
      <w:r>
        <w:separator/>
      </w:r>
    </w:p>
  </w:footnote>
  <w:footnote w:type="continuationSeparator" w:id="0">
    <w:p w14:paraId="7583C64E" w14:textId="77777777" w:rsidR="007C31BD" w:rsidRDefault="007C31BD" w:rsidP="000B02AA">
      <w:pPr>
        <w:spacing w:after="0"/>
      </w:pPr>
      <w:r>
        <w:continuationSeparator/>
      </w:r>
    </w:p>
  </w:footnote>
  <w:footnote w:type="continuationNotice" w:id="1">
    <w:p w14:paraId="61432F77" w14:textId="77777777" w:rsidR="007C31BD" w:rsidRDefault="007C31B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66E95C" w14:textId="77777777" w:rsidR="00783438" w:rsidRDefault="007834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56E400" w14:textId="77777777" w:rsidR="00783438" w:rsidRDefault="0078343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A132C6" w14:textId="77777777" w:rsidR="00783438" w:rsidRDefault="007834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E87714"/>
    <w:multiLevelType w:val="hybridMultilevel"/>
    <w:tmpl w:val="9E8E3B52"/>
    <w:lvl w:ilvl="0" w:tplc="DC2867B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33D5888"/>
    <w:multiLevelType w:val="multilevel"/>
    <w:tmpl w:val="033D5888"/>
    <w:lvl w:ilvl="0">
      <w:start w:val="1"/>
      <w:numFmt w:val="decimal"/>
      <w:lvlText w:val="[%1]"/>
      <w:lvlJc w:val="left"/>
      <w:pPr>
        <w:tabs>
          <w:tab w:val="num" w:pos="360"/>
        </w:tabs>
        <w:ind w:left="357" w:hanging="357"/>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 w15:restartNumberingAfterBreak="0">
    <w:nsid w:val="035E4DBD"/>
    <w:multiLevelType w:val="hybridMultilevel"/>
    <w:tmpl w:val="3B8E1DB2"/>
    <w:lvl w:ilvl="0" w:tplc="8BFA764E">
      <w:start w:val="1"/>
      <w:numFmt w:val="bullet"/>
      <w:lvlText w:val="•"/>
      <w:lvlJc w:val="left"/>
      <w:pPr>
        <w:tabs>
          <w:tab w:val="num" w:pos="720"/>
        </w:tabs>
        <w:ind w:left="720" w:hanging="360"/>
      </w:pPr>
      <w:rPr>
        <w:rFonts w:ascii="Arial" w:hAnsi="Arial" w:hint="default"/>
      </w:rPr>
    </w:lvl>
    <w:lvl w:ilvl="1" w:tplc="ED8A6F4A">
      <w:start w:val="1"/>
      <w:numFmt w:val="bullet"/>
      <w:lvlText w:val="•"/>
      <w:lvlJc w:val="left"/>
      <w:pPr>
        <w:tabs>
          <w:tab w:val="num" w:pos="1440"/>
        </w:tabs>
        <w:ind w:left="1440" w:hanging="360"/>
      </w:pPr>
      <w:rPr>
        <w:rFonts w:ascii="Arial" w:hAnsi="Arial" w:hint="default"/>
      </w:rPr>
    </w:lvl>
    <w:lvl w:ilvl="2" w:tplc="FCDC2AA8">
      <w:start w:val="1"/>
      <w:numFmt w:val="bullet"/>
      <w:lvlText w:val="•"/>
      <w:lvlJc w:val="left"/>
      <w:pPr>
        <w:tabs>
          <w:tab w:val="num" w:pos="2160"/>
        </w:tabs>
        <w:ind w:left="2160" w:hanging="360"/>
      </w:pPr>
      <w:rPr>
        <w:rFonts w:ascii="Arial" w:hAnsi="Arial" w:hint="default"/>
      </w:rPr>
    </w:lvl>
    <w:lvl w:ilvl="3" w:tplc="DA941176" w:tentative="1">
      <w:start w:val="1"/>
      <w:numFmt w:val="bullet"/>
      <w:lvlText w:val="•"/>
      <w:lvlJc w:val="left"/>
      <w:pPr>
        <w:tabs>
          <w:tab w:val="num" w:pos="2880"/>
        </w:tabs>
        <w:ind w:left="2880" w:hanging="360"/>
      </w:pPr>
      <w:rPr>
        <w:rFonts w:ascii="Arial" w:hAnsi="Arial" w:hint="default"/>
      </w:rPr>
    </w:lvl>
    <w:lvl w:ilvl="4" w:tplc="28E07416" w:tentative="1">
      <w:start w:val="1"/>
      <w:numFmt w:val="bullet"/>
      <w:lvlText w:val="•"/>
      <w:lvlJc w:val="left"/>
      <w:pPr>
        <w:tabs>
          <w:tab w:val="num" w:pos="3600"/>
        </w:tabs>
        <w:ind w:left="3600" w:hanging="360"/>
      </w:pPr>
      <w:rPr>
        <w:rFonts w:ascii="Arial" w:hAnsi="Arial" w:hint="default"/>
      </w:rPr>
    </w:lvl>
    <w:lvl w:ilvl="5" w:tplc="D990178C" w:tentative="1">
      <w:start w:val="1"/>
      <w:numFmt w:val="bullet"/>
      <w:lvlText w:val="•"/>
      <w:lvlJc w:val="left"/>
      <w:pPr>
        <w:tabs>
          <w:tab w:val="num" w:pos="4320"/>
        </w:tabs>
        <w:ind w:left="4320" w:hanging="360"/>
      </w:pPr>
      <w:rPr>
        <w:rFonts w:ascii="Arial" w:hAnsi="Arial" w:hint="default"/>
      </w:rPr>
    </w:lvl>
    <w:lvl w:ilvl="6" w:tplc="A33837D4" w:tentative="1">
      <w:start w:val="1"/>
      <w:numFmt w:val="bullet"/>
      <w:lvlText w:val="•"/>
      <w:lvlJc w:val="left"/>
      <w:pPr>
        <w:tabs>
          <w:tab w:val="num" w:pos="5040"/>
        </w:tabs>
        <w:ind w:left="5040" w:hanging="360"/>
      </w:pPr>
      <w:rPr>
        <w:rFonts w:ascii="Arial" w:hAnsi="Arial" w:hint="default"/>
      </w:rPr>
    </w:lvl>
    <w:lvl w:ilvl="7" w:tplc="447EE35A" w:tentative="1">
      <w:start w:val="1"/>
      <w:numFmt w:val="bullet"/>
      <w:lvlText w:val="•"/>
      <w:lvlJc w:val="left"/>
      <w:pPr>
        <w:tabs>
          <w:tab w:val="num" w:pos="5760"/>
        </w:tabs>
        <w:ind w:left="5760" w:hanging="360"/>
      </w:pPr>
      <w:rPr>
        <w:rFonts w:ascii="Arial" w:hAnsi="Arial" w:hint="default"/>
      </w:rPr>
    </w:lvl>
    <w:lvl w:ilvl="8" w:tplc="A858E31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17591F"/>
    <w:multiLevelType w:val="hybridMultilevel"/>
    <w:tmpl w:val="A32ECED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A5341F7"/>
    <w:multiLevelType w:val="singleLevel"/>
    <w:tmpl w:val="D270C2C2"/>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13611732"/>
    <w:multiLevelType w:val="hybridMultilevel"/>
    <w:tmpl w:val="BA6EAD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B2B6B00"/>
    <w:multiLevelType w:val="hybridMultilevel"/>
    <w:tmpl w:val="6B620A6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EFD7E0F"/>
    <w:multiLevelType w:val="hybridMultilevel"/>
    <w:tmpl w:val="2B1E63AA"/>
    <w:lvl w:ilvl="0" w:tplc="5B2C07EC">
      <w:numFmt w:val="bullet"/>
      <w:lvlText w:val="-"/>
      <w:lvlJc w:val="left"/>
      <w:pPr>
        <w:ind w:left="720" w:hanging="360"/>
      </w:pPr>
      <w:rPr>
        <w:rFonts w:ascii="Aptos" w:eastAsiaTheme="minorHAnsi" w:hAnsi="Aptos" w:cstheme="minorBid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76C0ECE"/>
    <w:multiLevelType w:val="hybridMultilevel"/>
    <w:tmpl w:val="6B620A60"/>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37B13BEF"/>
    <w:multiLevelType w:val="hybridMultilevel"/>
    <w:tmpl w:val="8506A108"/>
    <w:lvl w:ilvl="0" w:tplc="0415000F">
      <w:start w:val="1"/>
      <w:numFmt w:val="decimal"/>
      <w:lvlText w:val="%1."/>
      <w:lvlJc w:val="left"/>
      <w:pPr>
        <w:ind w:left="720" w:hanging="360"/>
      </w:pPr>
      <w:rPr>
        <w:rFonts w:hint="default"/>
      </w:r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3C5F4E43"/>
    <w:multiLevelType w:val="hybridMultilevel"/>
    <w:tmpl w:val="42F05858"/>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1" w15:restartNumberingAfterBreak="0">
    <w:nsid w:val="43AF5F9A"/>
    <w:multiLevelType w:val="hybridMultilevel"/>
    <w:tmpl w:val="AA9463B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447D406F"/>
    <w:multiLevelType w:val="hybridMultilevel"/>
    <w:tmpl w:val="3072D44C"/>
    <w:lvl w:ilvl="0" w:tplc="B85C2A90">
      <w:start w:val="2"/>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3" w15:restartNumberingAfterBreak="0">
    <w:nsid w:val="4992185E"/>
    <w:multiLevelType w:val="hybridMultilevel"/>
    <w:tmpl w:val="FDD4679E"/>
    <w:lvl w:ilvl="0" w:tplc="099E4088">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4CB27D83"/>
    <w:multiLevelType w:val="hybridMultilevel"/>
    <w:tmpl w:val="D50CA9B4"/>
    <w:lvl w:ilvl="0" w:tplc="04090003">
      <w:start w:val="1"/>
      <w:numFmt w:val="bullet"/>
      <w:lvlText w:val="o"/>
      <w:lvlJc w:val="left"/>
      <w:pPr>
        <w:ind w:left="2607" w:hanging="360"/>
      </w:pPr>
      <w:rPr>
        <w:rFonts w:ascii="Courier New" w:hAnsi="Courier New" w:cs="Courier New" w:hint="default"/>
      </w:rPr>
    </w:lvl>
    <w:lvl w:ilvl="1" w:tplc="04090003" w:tentative="1">
      <w:start w:val="1"/>
      <w:numFmt w:val="bullet"/>
      <w:lvlText w:val="o"/>
      <w:lvlJc w:val="left"/>
      <w:pPr>
        <w:ind w:left="3327" w:hanging="360"/>
      </w:pPr>
      <w:rPr>
        <w:rFonts w:ascii="Courier New" w:hAnsi="Courier New" w:cs="Courier New" w:hint="default"/>
      </w:rPr>
    </w:lvl>
    <w:lvl w:ilvl="2" w:tplc="04090005" w:tentative="1">
      <w:start w:val="1"/>
      <w:numFmt w:val="bullet"/>
      <w:lvlText w:val=""/>
      <w:lvlJc w:val="left"/>
      <w:pPr>
        <w:ind w:left="4047" w:hanging="360"/>
      </w:pPr>
      <w:rPr>
        <w:rFonts w:ascii="Wingdings" w:hAnsi="Wingdings" w:hint="default"/>
      </w:rPr>
    </w:lvl>
    <w:lvl w:ilvl="3" w:tplc="04090001" w:tentative="1">
      <w:start w:val="1"/>
      <w:numFmt w:val="bullet"/>
      <w:lvlText w:val=""/>
      <w:lvlJc w:val="left"/>
      <w:pPr>
        <w:ind w:left="4767" w:hanging="360"/>
      </w:pPr>
      <w:rPr>
        <w:rFonts w:ascii="Symbol" w:hAnsi="Symbol" w:hint="default"/>
      </w:rPr>
    </w:lvl>
    <w:lvl w:ilvl="4" w:tplc="04090003" w:tentative="1">
      <w:start w:val="1"/>
      <w:numFmt w:val="bullet"/>
      <w:lvlText w:val="o"/>
      <w:lvlJc w:val="left"/>
      <w:pPr>
        <w:ind w:left="5487" w:hanging="360"/>
      </w:pPr>
      <w:rPr>
        <w:rFonts w:ascii="Courier New" w:hAnsi="Courier New" w:cs="Courier New" w:hint="default"/>
      </w:rPr>
    </w:lvl>
    <w:lvl w:ilvl="5" w:tplc="04090005" w:tentative="1">
      <w:start w:val="1"/>
      <w:numFmt w:val="bullet"/>
      <w:lvlText w:val=""/>
      <w:lvlJc w:val="left"/>
      <w:pPr>
        <w:ind w:left="6207" w:hanging="360"/>
      </w:pPr>
      <w:rPr>
        <w:rFonts w:ascii="Wingdings" w:hAnsi="Wingdings" w:hint="default"/>
      </w:rPr>
    </w:lvl>
    <w:lvl w:ilvl="6" w:tplc="04090001" w:tentative="1">
      <w:start w:val="1"/>
      <w:numFmt w:val="bullet"/>
      <w:lvlText w:val=""/>
      <w:lvlJc w:val="left"/>
      <w:pPr>
        <w:ind w:left="6927" w:hanging="360"/>
      </w:pPr>
      <w:rPr>
        <w:rFonts w:ascii="Symbol" w:hAnsi="Symbol" w:hint="default"/>
      </w:rPr>
    </w:lvl>
    <w:lvl w:ilvl="7" w:tplc="04090003" w:tentative="1">
      <w:start w:val="1"/>
      <w:numFmt w:val="bullet"/>
      <w:lvlText w:val="o"/>
      <w:lvlJc w:val="left"/>
      <w:pPr>
        <w:ind w:left="7647" w:hanging="360"/>
      </w:pPr>
      <w:rPr>
        <w:rFonts w:ascii="Courier New" w:hAnsi="Courier New" w:cs="Courier New" w:hint="default"/>
      </w:rPr>
    </w:lvl>
    <w:lvl w:ilvl="8" w:tplc="04090005" w:tentative="1">
      <w:start w:val="1"/>
      <w:numFmt w:val="bullet"/>
      <w:lvlText w:val=""/>
      <w:lvlJc w:val="left"/>
      <w:pPr>
        <w:ind w:left="8367" w:hanging="360"/>
      </w:pPr>
      <w:rPr>
        <w:rFonts w:ascii="Wingdings" w:hAnsi="Wingdings" w:hint="default"/>
      </w:rPr>
    </w:lvl>
  </w:abstractNum>
  <w:abstractNum w:abstractNumId="15" w15:restartNumberingAfterBreak="0">
    <w:nsid w:val="4D6847EF"/>
    <w:multiLevelType w:val="hybridMultilevel"/>
    <w:tmpl w:val="0194CB98"/>
    <w:lvl w:ilvl="0" w:tplc="462A3EDC">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1027D55"/>
    <w:multiLevelType w:val="hybridMultilevel"/>
    <w:tmpl w:val="D57A5038"/>
    <w:lvl w:ilvl="0" w:tplc="462A3EDC">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2554131"/>
    <w:multiLevelType w:val="hybridMultilevel"/>
    <w:tmpl w:val="8AD2FB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C0C09D6"/>
    <w:multiLevelType w:val="multilevel"/>
    <w:tmpl w:val="FE36F16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5CCD6A8B"/>
    <w:multiLevelType w:val="hybridMultilevel"/>
    <w:tmpl w:val="52D2AAB6"/>
    <w:lvl w:ilvl="0" w:tplc="12EC3068">
      <w:start w:val="2"/>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5DE03639"/>
    <w:multiLevelType w:val="hybridMultilevel"/>
    <w:tmpl w:val="670E0FA0"/>
    <w:lvl w:ilvl="0" w:tplc="7FC8BFD2">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FB7468A"/>
    <w:multiLevelType w:val="hybridMultilevel"/>
    <w:tmpl w:val="AB2C6088"/>
    <w:lvl w:ilvl="0" w:tplc="12EC3068">
      <w:start w:val="2"/>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5FF80E27"/>
    <w:multiLevelType w:val="hybridMultilevel"/>
    <w:tmpl w:val="FFFFFFFF"/>
    <w:lvl w:ilvl="0" w:tplc="D82A4CF4">
      <w:start w:val="1"/>
      <w:numFmt w:val="bullet"/>
      <w:lvlText w:val="-"/>
      <w:lvlJc w:val="left"/>
      <w:pPr>
        <w:ind w:left="720" w:hanging="360"/>
      </w:pPr>
      <w:rPr>
        <w:rFonts w:ascii="&quot;Segoe UI&quot;,sans-serif" w:hAnsi="&quot;Segoe UI&quot;,sans-serif" w:hint="default"/>
      </w:rPr>
    </w:lvl>
    <w:lvl w:ilvl="1" w:tplc="8DA0BF70">
      <w:start w:val="1"/>
      <w:numFmt w:val="bullet"/>
      <w:lvlText w:val="o"/>
      <w:lvlJc w:val="left"/>
      <w:pPr>
        <w:ind w:left="1440" w:hanging="360"/>
      </w:pPr>
      <w:rPr>
        <w:rFonts w:ascii="Courier New" w:hAnsi="Courier New" w:hint="default"/>
      </w:rPr>
    </w:lvl>
    <w:lvl w:ilvl="2" w:tplc="BCB4E1DA">
      <w:start w:val="1"/>
      <w:numFmt w:val="bullet"/>
      <w:lvlText w:val=""/>
      <w:lvlJc w:val="left"/>
      <w:pPr>
        <w:ind w:left="2160" w:hanging="360"/>
      </w:pPr>
      <w:rPr>
        <w:rFonts w:ascii="Wingdings" w:hAnsi="Wingdings" w:hint="default"/>
      </w:rPr>
    </w:lvl>
    <w:lvl w:ilvl="3" w:tplc="F6B89AA2">
      <w:start w:val="1"/>
      <w:numFmt w:val="bullet"/>
      <w:lvlText w:val=""/>
      <w:lvlJc w:val="left"/>
      <w:pPr>
        <w:ind w:left="2880" w:hanging="360"/>
      </w:pPr>
      <w:rPr>
        <w:rFonts w:ascii="Symbol" w:hAnsi="Symbol" w:hint="default"/>
      </w:rPr>
    </w:lvl>
    <w:lvl w:ilvl="4" w:tplc="CAACD282">
      <w:start w:val="1"/>
      <w:numFmt w:val="bullet"/>
      <w:lvlText w:val="o"/>
      <w:lvlJc w:val="left"/>
      <w:pPr>
        <w:ind w:left="3600" w:hanging="360"/>
      </w:pPr>
      <w:rPr>
        <w:rFonts w:ascii="Courier New" w:hAnsi="Courier New" w:hint="default"/>
      </w:rPr>
    </w:lvl>
    <w:lvl w:ilvl="5" w:tplc="86F4B074">
      <w:start w:val="1"/>
      <w:numFmt w:val="bullet"/>
      <w:lvlText w:val=""/>
      <w:lvlJc w:val="left"/>
      <w:pPr>
        <w:ind w:left="4320" w:hanging="360"/>
      </w:pPr>
      <w:rPr>
        <w:rFonts w:ascii="Wingdings" w:hAnsi="Wingdings" w:hint="default"/>
      </w:rPr>
    </w:lvl>
    <w:lvl w:ilvl="6" w:tplc="D75A3B30">
      <w:start w:val="1"/>
      <w:numFmt w:val="bullet"/>
      <w:lvlText w:val=""/>
      <w:lvlJc w:val="left"/>
      <w:pPr>
        <w:ind w:left="5040" w:hanging="360"/>
      </w:pPr>
      <w:rPr>
        <w:rFonts w:ascii="Symbol" w:hAnsi="Symbol" w:hint="default"/>
      </w:rPr>
    </w:lvl>
    <w:lvl w:ilvl="7" w:tplc="3466759C">
      <w:start w:val="1"/>
      <w:numFmt w:val="bullet"/>
      <w:lvlText w:val="o"/>
      <w:lvlJc w:val="left"/>
      <w:pPr>
        <w:ind w:left="5760" w:hanging="360"/>
      </w:pPr>
      <w:rPr>
        <w:rFonts w:ascii="Courier New" w:hAnsi="Courier New" w:hint="default"/>
      </w:rPr>
    </w:lvl>
    <w:lvl w:ilvl="8" w:tplc="6B643C12">
      <w:start w:val="1"/>
      <w:numFmt w:val="bullet"/>
      <w:lvlText w:val=""/>
      <w:lvlJc w:val="left"/>
      <w:pPr>
        <w:ind w:left="6480" w:hanging="360"/>
      </w:pPr>
      <w:rPr>
        <w:rFonts w:ascii="Wingdings" w:hAnsi="Wingdings" w:hint="default"/>
      </w:rPr>
    </w:lvl>
  </w:abstractNum>
  <w:abstractNum w:abstractNumId="24" w15:restartNumberingAfterBreak="0">
    <w:nsid w:val="6B057ED2"/>
    <w:multiLevelType w:val="hybridMultilevel"/>
    <w:tmpl w:val="3FA406A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6DDA0D3E"/>
    <w:multiLevelType w:val="hybridMultilevel"/>
    <w:tmpl w:val="7E3C4126"/>
    <w:lvl w:ilvl="0" w:tplc="04090001">
      <w:start w:val="1"/>
      <w:numFmt w:val="bullet"/>
      <w:lvlText w:val=""/>
      <w:lvlJc w:val="left"/>
      <w:pPr>
        <w:ind w:left="1836" w:hanging="360"/>
      </w:pPr>
      <w:rPr>
        <w:rFonts w:ascii="Symbol" w:hAnsi="Symbol" w:hint="default"/>
      </w:rPr>
    </w:lvl>
    <w:lvl w:ilvl="1" w:tplc="04090003" w:tentative="1">
      <w:start w:val="1"/>
      <w:numFmt w:val="bullet"/>
      <w:lvlText w:val="o"/>
      <w:lvlJc w:val="left"/>
      <w:pPr>
        <w:ind w:left="2556" w:hanging="360"/>
      </w:pPr>
      <w:rPr>
        <w:rFonts w:ascii="Courier New" w:hAnsi="Courier New" w:cs="Courier New" w:hint="default"/>
      </w:rPr>
    </w:lvl>
    <w:lvl w:ilvl="2" w:tplc="04090005" w:tentative="1">
      <w:start w:val="1"/>
      <w:numFmt w:val="bullet"/>
      <w:lvlText w:val=""/>
      <w:lvlJc w:val="left"/>
      <w:pPr>
        <w:ind w:left="3276" w:hanging="360"/>
      </w:pPr>
      <w:rPr>
        <w:rFonts w:ascii="Wingdings" w:hAnsi="Wingdings" w:hint="default"/>
      </w:rPr>
    </w:lvl>
    <w:lvl w:ilvl="3" w:tplc="04090001" w:tentative="1">
      <w:start w:val="1"/>
      <w:numFmt w:val="bullet"/>
      <w:lvlText w:val=""/>
      <w:lvlJc w:val="left"/>
      <w:pPr>
        <w:ind w:left="3996" w:hanging="360"/>
      </w:pPr>
      <w:rPr>
        <w:rFonts w:ascii="Symbol" w:hAnsi="Symbol" w:hint="default"/>
      </w:rPr>
    </w:lvl>
    <w:lvl w:ilvl="4" w:tplc="04090003" w:tentative="1">
      <w:start w:val="1"/>
      <w:numFmt w:val="bullet"/>
      <w:lvlText w:val="o"/>
      <w:lvlJc w:val="left"/>
      <w:pPr>
        <w:ind w:left="4716" w:hanging="360"/>
      </w:pPr>
      <w:rPr>
        <w:rFonts w:ascii="Courier New" w:hAnsi="Courier New" w:cs="Courier New" w:hint="default"/>
      </w:rPr>
    </w:lvl>
    <w:lvl w:ilvl="5" w:tplc="04090005" w:tentative="1">
      <w:start w:val="1"/>
      <w:numFmt w:val="bullet"/>
      <w:lvlText w:val=""/>
      <w:lvlJc w:val="left"/>
      <w:pPr>
        <w:ind w:left="5436" w:hanging="360"/>
      </w:pPr>
      <w:rPr>
        <w:rFonts w:ascii="Wingdings" w:hAnsi="Wingdings" w:hint="default"/>
      </w:rPr>
    </w:lvl>
    <w:lvl w:ilvl="6" w:tplc="04090001" w:tentative="1">
      <w:start w:val="1"/>
      <w:numFmt w:val="bullet"/>
      <w:lvlText w:val=""/>
      <w:lvlJc w:val="left"/>
      <w:pPr>
        <w:ind w:left="6156" w:hanging="360"/>
      </w:pPr>
      <w:rPr>
        <w:rFonts w:ascii="Symbol" w:hAnsi="Symbol" w:hint="default"/>
      </w:rPr>
    </w:lvl>
    <w:lvl w:ilvl="7" w:tplc="04090003" w:tentative="1">
      <w:start w:val="1"/>
      <w:numFmt w:val="bullet"/>
      <w:lvlText w:val="o"/>
      <w:lvlJc w:val="left"/>
      <w:pPr>
        <w:ind w:left="6876" w:hanging="360"/>
      </w:pPr>
      <w:rPr>
        <w:rFonts w:ascii="Courier New" w:hAnsi="Courier New" w:cs="Courier New" w:hint="default"/>
      </w:rPr>
    </w:lvl>
    <w:lvl w:ilvl="8" w:tplc="04090005" w:tentative="1">
      <w:start w:val="1"/>
      <w:numFmt w:val="bullet"/>
      <w:lvlText w:val=""/>
      <w:lvlJc w:val="left"/>
      <w:pPr>
        <w:ind w:left="7596" w:hanging="360"/>
      </w:pPr>
      <w:rPr>
        <w:rFonts w:ascii="Wingdings" w:hAnsi="Wingdings" w:hint="default"/>
      </w:rPr>
    </w:lvl>
  </w:abstractNum>
  <w:abstractNum w:abstractNumId="26" w15:restartNumberingAfterBreak="0">
    <w:nsid w:val="74DC5C2D"/>
    <w:multiLevelType w:val="multilevel"/>
    <w:tmpl w:val="74DC5C2D"/>
    <w:lvl w:ilvl="0">
      <w:start w:val="1"/>
      <w:numFmt w:val="bullet"/>
      <w:lvlText w:val="-"/>
      <w:lvlJc w:val="left"/>
      <w:pPr>
        <w:ind w:left="720" w:hanging="360"/>
      </w:pPr>
      <w:rPr>
        <w:rFonts w:ascii="Times New Roman" w:eastAsia="DengXian" w:hAnsi="Times New Roman" w:cs="Times New Roman" w:hint="default"/>
      </w:rPr>
    </w:lvl>
    <w:lvl w:ilvl="1">
      <w:start w:val="1"/>
      <w:numFmt w:val="bullet"/>
      <w:lvlText w:val="-"/>
      <w:lvlJc w:val="left"/>
      <w:pPr>
        <w:ind w:left="720" w:hanging="360"/>
      </w:pPr>
      <w:rPr>
        <w:rFonts w:ascii="Times New Roman" w:eastAsia="DengXian"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4DF5599"/>
    <w:multiLevelType w:val="multilevel"/>
    <w:tmpl w:val="74DF5599"/>
    <w:lvl w:ilvl="0">
      <w:start w:val="1"/>
      <w:numFmt w:val="bullet"/>
      <w:lvlText w:val="-"/>
      <w:lvlJc w:val="left"/>
      <w:pPr>
        <w:ind w:left="644" w:hanging="360"/>
      </w:pPr>
      <w:rPr>
        <w:rFonts w:ascii="Times New Roman" w:eastAsia="DengXi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8" w15:restartNumberingAfterBreak="0">
    <w:nsid w:val="7729394F"/>
    <w:multiLevelType w:val="hybridMultilevel"/>
    <w:tmpl w:val="E964353E"/>
    <w:lvl w:ilvl="0" w:tplc="AA4245BE">
      <w:numFmt w:val="bullet"/>
      <w:lvlText w:val="-"/>
      <w:lvlJc w:val="left"/>
      <w:pPr>
        <w:ind w:left="720" w:hanging="360"/>
      </w:pPr>
      <w:rPr>
        <w:rFonts w:ascii="Aptos" w:eastAsia="Aptos" w:hAnsi="Aptos"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9" w15:restartNumberingAfterBreak="0">
    <w:nsid w:val="7DFFEF19"/>
    <w:multiLevelType w:val="hybridMultilevel"/>
    <w:tmpl w:val="FFFFFFFF"/>
    <w:lvl w:ilvl="0" w:tplc="5F2220A0">
      <w:start w:val="1"/>
      <w:numFmt w:val="decimal"/>
      <w:lvlText w:val="%1)"/>
      <w:lvlJc w:val="left"/>
      <w:pPr>
        <w:ind w:left="720" w:hanging="360"/>
      </w:pPr>
    </w:lvl>
    <w:lvl w:ilvl="1" w:tplc="F7446E5E">
      <w:start w:val="1"/>
      <w:numFmt w:val="lowerLetter"/>
      <w:lvlText w:val="%2."/>
      <w:lvlJc w:val="left"/>
      <w:pPr>
        <w:ind w:left="1440" w:hanging="360"/>
      </w:pPr>
    </w:lvl>
    <w:lvl w:ilvl="2" w:tplc="9F9A5A74">
      <w:start w:val="1"/>
      <w:numFmt w:val="lowerRoman"/>
      <w:lvlText w:val="%3."/>
      <w:lvlJc w:val="right"/>
      <w:pPr>
        <w:ind w:left="2160" w:hanging="180"/>
      </w:pPr>
    </w:lvl>
    <w:lvl w:ilvl="3" w:tplc="8036FCAC">
      <w:start w:val="1"/>
      <w:numFmt w:val="decimal"/>
      <w:lvlText w:val="%4."/>
      <w:lvlJc w:val="left"/>
      <w:pPr>
        <w:ind w:left="2880" w:hanging="360"/>
      </w:pPr>
    </w:lvl>
    <w:lvl w:ilvl="4" w:tplc="18E2E024">
      <w:start w:val="1"/>
      <w:numFmt w:val="lowerLetter"/>
      <w:lvlText w:val="%5."/>
      <w:lvlJc w:val="left"/>
      <w:pPr>
        <w:ind w:left="3600" w:hanging="360"/>
      </w:pPr>
    </w:lvl>
    <w:lvl w:ilvl="5" w:tplc="5D76CD90">
      <w:start w:val="1"/>
      <w:numFmt w:val="lowerRoman"/>
      <w:lvlText w:val="%6."/>
      <w:lvlJc w:val="right"/>
      <w:pPr>
        <w:ind w:left="4320" w:hanging="180"/>
      </w:pPr>
    </w:lvl>
    <w:lvl w:ilvl="6" w:tplc="A3C41A94">
      <w:start w:val="1"/>
      <w:numFmt w:val="decimal"/>
      <w:lvlText w:val="%7."/>
      <w:lvlJc w:val="left"/>
      <w:pPr>
        <w:ind w:left="5040" w:hanging="360"/>
      </w:pPr>
    </w:lvl>
    <w:lvl w:ilvl="7" w:tplc="EB18AB7E">
      <w:start w:val="1"/>
      <w:numFmt w:val="lowerLetter"/>
      <w:lvlText w:val="%8."/>
      <w:lvlJc w:val="left"/>
      <w:pPr>
        <w:ind w:left="5760" w:hanging="360"/>
      </w:pPr>
    </w:lvl>
    <w:lvl w:ilvl="8" w:tplc="8DAC994E">
      <w:start w:val="1"/>
      <w:numFmt w:val="lowerRoman"/>
      <w:lvlText w:val="%9."/>
      <w:lvlJc w:val="right"/>
      <w:pPr>
        <w:ind w:left="6480" w:hanging="180"/>
      </w:pPr>
    </w:lvl>
  </w:abstractNum>
  <w:abstractNum w:abstractNumId="30" w15:restartNumberingAfterBreak="0">
    <w:nsid w:val="7EBC4152"/>
    <w:multiLevelType w:val="hybridMultilevel"/>
    <w:tmpl w:val="D95ADF30"/>
    <w:lvl w:ilvl="0" w:tplc="E1D8C95E">
      <w:start w:val="2"/>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284845911">
    <w:abstractNumId w:val="29"/>
  </w:num>
  <w:num w:numId="2" w16cid:durableId="1488014220">
    <w:abstractNumId w:val="23"/>
  </w:num>
  <w:num w:numId="3" w16cid:durableId="130100679">
    <w:abstractNumId w:val="1"/>
  </w:num>
  <w:num w:numId="4" w16cid:durableId="614144156">
    <w:abstractNumId w:val="0"/>
  </w:num>
  <w:num w:numId="5" w16cid:durableId="1508712737">
    <w:abstractNumId w:val="4"/>
  </w:num>
  <w:num w:numId="6" w16cid:durableId="103114971">
    <w:abstractNumId w:val="17"/>
  </w:num>
  <w:num w:numId="7" w16cid:durableId="404498494">
    <w:abstractNumId w:val="15"/>
  </w:num>
  <w:num w:numId="8" w16cid:durableId="1861888552">
    <w:abstractNumId w:val="3"/>
  </w:num>
  <w:num w:numId="9" w16cid:durableId="777144761">
    <w:abstractNumId w:val="16"/>
  </w:num>
  <w:num w:numId="10" w16cid:durableId="1662386251">
    <w:abstractNumId w:val="13"/>
  </w:num>
  <w:num w:numId="11" w16cid:durableId="598098075">
    <w:abstractNumId w:val="9"/>
  </w:num>
  <w:num w:numId="12" w16cid:durableId="1867712956">
    <w:abstractNumId w:val="10"/>
  </w:num>
  <w:num w:numId="13" w16cid:durableId="377359364">
    <w:abstractNumId w:val="25"/>
  </w:num>
  <w:num w:numId="14" w16cid:durableId="1125540632">
    <w:abstractNumId w:val="14"/>
  </w:num>
  <w:num w:numId="15" w16cid:durableId="1940215992">
    <w:abstractNumId w:val="21"/>
  </w:num>
  <w:num w:numId="16" w16cid:durableId="1409306561">
    <w:abstractNumId w:val="18"/>
  </w:num>
  <w:num w:numId="17" w16cid:durableId="492842245">
    <w:abstractNumId w:val="5"/>
  </w:num>
  <w:num w:numId="18" w16cid:durableId="70007952">
    <w:abstractNumId w:val="11"/>
  </w:num>
  <w:num w:numId="19" w16cid:durableId="1191532484">
    <w:abstractNumId w:val="24"/>
  </w:num>
  <w:num w:numId="20" w16cid:durableId="688531036">
    <w:abstractNumId w:val="4"/>
    <w:lvlOverride w:ilvl="0">
      <w:startOverride w:val="1"/>
    </w:lvlOverride>
  </w:num>
  <w:num w:numId="21" w16cid:durableId="1322923907">
    <w:abstractNumId w:val="2"/>
  </w:num>
  <w:num w:numId="22" w16cid:durableId="1514762408">
    <w:abstractNumId w:val="27"/>
  </w:num>
  <w:num w:numId="23" w16cid:durableId="384107767">
    <w:abstractNumId w:val="19"/>
  </w:num>
  <w:num w:numId="24" w16cid:durableId="127674845">
    <w:abstractNumId w:val="26"/>
  </w:num>
  <w:num w:numId="25" w16cid:durableId="403379060">
    <w:abstractNumId w:val="30"/>
  </w:num>
  <w:num w:numId="26" w16cid:durableId="327174732">
    <w:abstractNumId w:val="20"/>
  </w:num>
  <w:num w:numId="27" w16cid:durableId="1996833861">
    <w:abstractNumId w:val="12"/>
  </w:num>
  <w:num w:numId="28" w16cid:durableId="2013608003">
    <w:abstractNumId w:val="8"/>
  </w:num>
  <w:num w:numId="29" w16cid:durableId="650865067">
    <w:abstractNumId w:val="6"/>
  </w:num>
  <w:num w:numId="30" w16cid:durableId="1842621850">
    <w:abstractNumId w:val="28"/>
  </w:num>
  <w:num w:numId="31" w16cid:durableId="2110422819">
    <w:abstractNumId w:val="7"/>
  </w:num>
  <w:num w:numId="32" w16cid:durableId="336082546">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fillcolor="white">
      <v:fill color="white"/>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1303"/>
    <w:rsid w:val="0000358A"/>
    <w:rsid w:val="00003615"/>
    <w:rsid w:val="00003E97"/>
    <w:rsid w:val="00003EE3"/>
    <w:rsid w:val="00004FB6"/>
    <w:rsid w:val="00005353"/>
    <w:rsid w:val="00005383"/>
    <w:rsid w:val="00005468"/>
    <w:rsid w:val="000057FF"/>
    <w:rsid w:val="00005D49"/>
    <w:rsid w:val="000065F6"/>
    <w:rsid w:val="00006BE5"/>
    <w:rsid w:val="0000765F"/>
    <w:rsid w:val="0001027F"/>
    <w:rsid w:val="00011479"/>
    <w:rsid w:val="00012818"/>
    <w:rsid w:val="00013BA7"/>
    <w:rsid w:val="00013EF8"/>
    <w:rsid w:val="000147B7"/>
    <w:rsid w:val="00014C44"/>
    <w:rsid w:val="00016035"/>
    <w:rsid w:val="00016237"/>
    <w:rsid w:val="00016798"/>
    <w:rsid w:val="00017114"/>
    <w:rsid w:val="00017390"/>
    <w:rsid w:val="00017975"/>
    <w:rsid w:val="00020DD2"/>
    <w:rsid w:val="0002151D"/>
    <w:rsid w:val="00021915"/>
    <w:rsid w:val="00021FC4"/>
    <w:rsid w:val="00022F08"/>
    <w:rsid w:val="00023F58"/>
    <w:rsid w:val="00023FCA"/>
    <w:rsid w:val="00025A46"/>
    <w:rsid w:val="00025DCF"/>
    <w:rsid w:val="000264CA"/>
    <w:rsid w:val="000265DF"/>
    <w:rsid w:val="000271D0"/>
    <w:rsid w:val="000308E1"/>
    <w:rsid w:val="00030ED1"/>
    <w:rsid w:val="000311E6"/>
    <w:rsid w:val="0003142A"/>
    <w:rsid w:val="0003187E"/>
    <w:rsid w:val="0003264B"/>
    <w:rsid w:val="00032EC4"/>
    <w:rsid w:val="00033397"/>
    <w:rsid w:val="00033B29"/>
    <w:rsid w:val="00034234"/>
    <w:rsid w:val="000352A7"/>
    <w:rsid w:val="00036384"/>
    <w:rsid w:val="00036C34"/>
    <w:rsid w:val="00040095"/>
    <w:rsid w:val="00040985"/>
    <w:rsid w:val="00042B6D"/>
    <w:rsid w:val="000439E0"/>
    <w:rsid w:val="000447A7"/>
    <w:rsid w:val="00044DAF"/>
    <w:rsid w:val="00045A34"/>
    <w:rsid w:val="00046008"/>
    <w:rsid w:val="0004627B"/>
    <w:rsid w:val="000462BF"/>
    <w:rsid w:val="00046A48"/>
    <w:rsid w:val="00046B12"/>
    <w:rsid w:val="0004794B"/>
    <w:rsid w:val="00047D62"/>
    <w:rsid w:val="00050192"/>
    <w:rsid w:val="00050C0C"/>
    <w:rsid w:val="00051A6C"/>
    <w:rsid w:val="00052DFF"/>
    <w:rsid w:val="000538DD"/>
    <w:rsid w:val="00053B88"/>
    <w:rsid w:val="000551D6"/>
    <w:rsid w:val="0005651F"/>
    <w:rsid w:val="000569E8"/>
    <w:rsid w:val="00056F76"/>
    <w:rsid w:val="00057363"/>
    <w:rsid w:val="00057B0E"/>
    <w:rsid w:val="000603D8"/>
    <w:rsid w:val="00060999"/>
    <w:rsid w:val="000612C6"/>
    <w:rsid w:val="00062B3D"/>
    <w:rsid w:val="00063A13"/>
    <w:rsid w:val="00064098"/>
    <w:rsid w:val="00064200"/>
    <w:rsid w:val="000647D0"/>
    <w:rsid w:val="000650FD"/>
    <w:rsid w:val="00066FFB"/>
    <w:rsid w:val="000672F4"/>
    <w:rsid w:val="00070C55"/>
    <w:rsid w:val="00070F8B"/>
    <w:rsid w:val="000710C4"/>
    <w:rsid w:val="00071289"/>
    <w:rsid w:val="00071B0F"/>
    <w:rsid w:val="00071DE5"/>
    <w:rsid w:val="0007266B"/>
    <w:rsid w:val="0007425A"/>
    <w:rsid w:val="0007460F"/>
    <w:rsid w:val="00074DF5"/>
    <w:rsid w:val="0007526E"/>
    <w:rsid w:val="00075C93"/>
    <w:rsid w:val="00075E36"/>
    <w:rsid w:val="00076026"/>
    <w:rsid w:val="0007657A"/>
    <w:rsid w:val="00077B33"/>
    <w:rsid w:val="00077C2D"/>
    <w:rsid w:val="00077F67"/>
    <w:rsid w:val="00080512"/>
    <w:rsid w:val="00080BFE"/>
    <w:rsid w:val="0008183D"/>
    <w:rsid w:val="00081B90"/>
    <w:rsid w:val="00081EB3"/>
    <w:rsid w:val="00082643"/>
    <w:rsid w:val="00083827"/>
    <w:rsid w:val="0008444A"/>
    <w:rsid w:val="00084543"/>
    <w:rsid w:val="0008461E"/>
    <w:rsid w:val="00085722"/>
    <w:rsid w:val="00086607"/>
    <w:rsid w:val="00086768"/>
    <w:rsid w:val="00086BE0"/>
    <w:rsid w:val="0008734E"/>
    <w:rsid w:val="000879EE"/>
    <w:rsid w:val="00087A87"/>
    <w:rsid w:val="00090246"/>
    <w:rsid w:val="00090468"/>
    <w:rsid w:val="00090494"/>
    <w:rsid w:val="00090A6A"/>
    <w:rsid w:val="00092592"/>
    <w:rsid w:val="00092A8E"/>
    <w:rsid w:val="00092E65"/>
    <w:rsid w:val="0009319B"/>
    <w:rsid w:val="00093B19"/>
    <w:rsid w:val="00093CCE"/>
    <w:rsid w:val="00093E2D"/>
    <w:rsid w:val="00094534"/>
    <w:rsid w:val="000946D3"/>
    <w:rsid w:val="00094F69"/>
    <w:rsid w:val="00095BB2"/>
    <w:rsid w:val="00095D16"/>
    <w:rsid w:val="000960E3"/>
    <w:rsid w:val="000A0C01"/>
    <w:rsid w:val="000A0D45"/>
    <w:rsid w:val="000A163D"/>
    <w:rsid w:val="000A19E0"/>
    <w:rsid w:val="000A1A2E"/>
    <w:rsid w:val="000A2767"/>
    <w:rsid w:val="000A3D61"/>
    <w:rsid w:val="000A44ED"/>
    <w:rsid w:val="000A52CD"/>
    <w:rsid w:val="000A5A1A"/>
    <w:rsid w:val="000A5BDF"/>
    <w:rsid w:val="000A6A6D"/>
    <w:rsid w:val="000A6D95"/>
    <w:rsid w:val="000A7007"/>
    <w:rsid w:val="000A705A"/>
    <w:rsid w:val="000B02AA"/>
    <w:rsid w:val="000B0B03"/>
    <w:rsid w:val="000B3C6F"/>
    <w:rsid w:val="000B3EA4"/>
    <w:rsid w:val="000B4344"/>
    <w:rsid w:val="000B45B4"/>
    <w:rsid w:val="000B48A2"/>
    <w:rsid w:val="000B4EC4"/>
    <w:rsid w:val="000B56EF"/>
    <w:rsid w:val="000B6574"/>
    <w:rsid w:val="000B73CA"/>
    <w:rsid w:val="000B7A9D"/>
    <w:rsid w:val="000B7BCF"/>
    <w:rsid w:val="000B7BEB"/>
    <w:rsid w:val="000C08C3"/>
    <w:rsid w:val="000C13BD"/>
    <w:rsid w:val="000C2156"/>
    <w:rsid w:val="000C263A"/>
    <w:rsid w:val="000C26E9"/>
    <w:rsid w:val="000C3E8E"/>
    <w:rsid w:val="000C4535"/>
    <w:rsid w:val="000C47C7"/>
    <w:rsid w:val="000C482A"/>
    <w:rsid w:val="000C4E7A"/>
    <w:rsid w:val="000C522B"/>
    <w:rsid w:val="000C711C"/>
    <w:rsid w:val="000C76FC"/>
    <w:rsid w:val="000D024F"/>
    <w:rsid w:val="000D2FA5"/>
    <w:rsid w:val="000D3E2B"/>
    <w:rsid w:val="000D41E1"/>
    <w:rsid w:val="000D56C3"/>
    <w:rsid w:val="000D58AB"/>
    <w:rsid w:val="000D5FB7"/>
    <w:rsid w:val="000D70AF"/>
    <w:rsid w:val="000D7323"/>
    <w:rsid w:val="000E0D41"/>
    <w:rsid w:val="000E0DFE"/>
    <w:rsid w:val="000E13D1"/>
    <w:rsid w:val="000E22B9"/>
    <w:rsid w:val="000E3990"/>
    <w:rsid w:val="000E46D2"/>
    <w:rsid w:val="000E63C9"/>
    <w:rsid w:val="000E66E3"/>
    <w:rsid w:val="000F03AB"/>
    <w:rsid w:val="000F30EE"/>
    <w:rsid w:val="000F3390"/>
    <w:rsid w:val="000F34EC"/>
    <w:rsid w:val="000F3CA0"/>
    <w:rsid w:val="000F4292"/>
    <w:rsid w:val="000F4C5C"/>
    <w:rsid w:val="000F4D45"/>
    <w:rsid w:val="000F6B66"/>
    <w:rsid w:val="000F7BCC"/>
    <w:rsid w:val="000F7BE9"/>
    <w:rsid w:val="001008AF"/>
    <w:rsid w:val="001012AF"/>
    <w:rsid w:val="00101C48"/>
    <w:rsid w:val="00101F16"/>
    <w:rsid w:val="00101F66"/>
    <w:rsid w:val="00104072"/>
    <w:rsid w:val="00104606"/>
    <w:rsid w:val="001046CF"/>
    <w:rsid w:val="00104F91"/>
    <w:rsid w:val="00105F9B"/>
    <w:rsid w:val="00106201"/>
    <w:rsid w:val="00106255"/>
    <w:rsid w:val="001062F2"/>
    <w:rsid w:val="00106399"/>
    <w:rsid w:val="00106534"/>
    <w:rsid w:val="00106A5B"/>
    <w:rsid w:val="00106BA3"/>
    <w:rsid w:val="00107256"/>
    <w:rsid w:val="001078AA"/>
    <w:rsid w:val="001110EC"/>
    <w:rsid w:val="001112C8"/>
    <w:rsid w:val="001118B0"/>
    <w:rsid w:val="00112281"/>
    <w:rsid w:val="001133CF"/>
    <w:rsid w:val="00113860"/>
    <w:rsid w:val="001144E0"/>
    <w:rsid w:val="001148F3"/>
    <w:rsid w:val="00115C8B"/>
    <w:rsid w:val="00115C95"/>
    <w:rsid w:val="00115D93"/>
    <w:rsid w:val="0011607A"/>
    <w:rsid w:val="001160AE"/>
    <w:rsid w:val="00116745"/>
    <w:rsid w:val="00116FFE"/>
    <w:rsid w:val="0011703D"/>
    <w:rsid w:val="00117279"/>
    <w:rsid w:val="001178DD"/>
    <w:rsid w:val="00117AD8"/>
    <w:rsid w:val="0012144B"/>
    <w:rsid w:val="00121CB1"/>
    <w:rsid w:val="00122105"/>
    <w:rsid w:val="001223B5"/>
    <w:rsid w:val="00122B43"/>
    <w:rsid w:val="00123183"/>
    <w:rsid w:val="00124633"/>
    <w:rsid w:val="00125238"/>
    <w:rsid w:val="001254F6"/>
    <w:rsid w:val="00125792"/>
    <w:rsid w:val="00126D35"/>
    <w:rsid w:val="0012745D"/>
    <w:rsid w:val="0012782E"/>
    <w:rsid w:val="00131349"/>
    <w:rsid w:val="00131909"/>
    <w:rsid w:val="001319D3"/>
    <w:rsid w:val="00131DDF"/>
    <w:rsid w:val="00131DF0"/>
    <w:rsid w:val="00131EC5"/>
    <w:rsid w:val="001320B9"/>
    <w:rsid w:val="001325F2"/>
    <w:rsid w:val="00133149"/>
    <w:rsid w:val="001339FB"/>
    <w:rsid w:val="00133E70"/>
    <w:rsid w:val="00135555"/>
    <w:rsid w:val="001371E7"/>
    <w:rsid w:val="001374EA"/>
    <w:rsid w:val="00137543"/>
    <w:rsid w:val="00137928"/>
    <w:rsid w:val="001379EC"/>
    <w:rsid w:val="00137EA8"/>
    <w:rsid w:val="001405CE"/>
    <w:rsid w:val="0014064C"/>
    <w:rsid w:val="00140721"/>
    <w:rsid w:val="00140814"/>
    <w:rsid w:val="00141B58"/>
    <w:rsid w:val="00142C4B"/>
    <w:rsid w:val="0014345C"/>
    <w:rsid w:val="001434A6"/>
    <w:rsid w:val="0014393C"/>
    <w:rsid w:val="0014471B"/>
    <w:rsid w:val="00144AA3"/>
    <w:rsid w:val="00144D17"/>
    <w:rsid w:val="001456BF"/>
    <w:rsid w:val="001459F9"/>
    <w:rsid w:val="00145CA8"/>
    <w:rsid w:val="00145E79"/>
    <w:rsid w:val="001464C5"/>
    <w:rsid w:val="00146570"/>
    <w:rsid w:val="00146A0D"/>
    <w:rsid w:val="00146C22"/>
    <w:rsid w:val="00147C83"/>
    <w:rsid w:val="00147D47"/>
    <w:rsid w:val="00150686"/>
    <w:rsid w:val="00150A4C"/>
    <w:rsid w:val="001510E8"/>
    <w:rsid w:val="00151148"/>
    <w:rsid w:val="00151227"/>
    <w:rsid w:val="001514B2"/>
    <w:rsid w:val="00151764"/>
    <w:rsid w:val="001521C9"/>
    <w:rsid w:val="0015231B"/>
    <w:rsid w:val="001527D8"/>
    <w:rsid w:val="00153326"/>
    <w:rsid w:val="0015353E"/>
    <w:rsid w:val="00153E06"/>
    <w:rsid w:val="0016030C"/>
    <w:rsid w:val="001612D7"/>
    <w:rsid w:val="001620E9"/>
    <w:rsid w:val="00162C59"/>
    <w:rsid w:val="00164813"/>
    <w:rsid w:val="00164FCD"/>
    <w:rsid w:val="00165D97"/>
    <w:rsid w:val="00166168"/>
    <w:rsid w:val="001662F0"/>
    <w:rsid w:val="0016710D"/>
    <w:rsid w:val="0016770B"/>
    <w:rsid w:val="001678E8"/>
    <w:rsid w:val="00170439"/>
    <w:rsid w:val="001710F5"/>
    <w:rsid w:val="001721D3"/>
    <w:rsid w:val="001721EC"/>
    <w:rsid w:val="001736D9"/>
    <w:rsid w:val="0017380A"/>
    <w:rsid w:val="00173D44"/>
    <w:rsid w:val="00173E7A"/>
    <w:rsid w:val="001741A0"/>
    <w:rsid w:val="0017441A"/>
    <w:rsid w:val="0017453F"/>
    <w:rsid w:val="001747C2"/>
    <w:rsid w:val="001747F7"/>
    <w:rsid w:val="00175347"/>
    <w:rsid w:val="00175E8B"/>
    <w:rsid w:val="00175F90"/>
    <w:rsid w:val="001769F9"/>
    <w:rsid w:val="00176A0A"/>
    <w:rsid w:val="00176A3B"/>
    <w:rsid w:val="00176CE8"/>
    <w:rsid w:val="00177F20"/>
    <w:rsid w:val="001808D9"/>
    <w:rsid w:val="00180BCB"/>
    <w:rsid w:val="001819A7"/>
    <w:rsid w:val="0018278A"/>
    <w:rsid w:val="001829CB"/>
    <w:rsid w:val="00182DA3"/>
    <w:rsid w:val="00183014"/>
    <w:rsid w:val="001834C5"/>
    <w:rsid w:val="0018453A"/>
    <w:rsid w:val="0018495A"/>
    <w:rsid w:val="00184BF2"/>
    <w:rsid w:val="00184C3C"/>
    <w:rsid w:val="001859EE"/>
    <w:rsid w:val="00185BBF"/>
    <w:rsid w:val="00186E59"/>
    <w:rsid w:val="00187E23"/>
    <w:rsid w:val="00190442"/>
    <w:rsid w:val="00190B9B"/>
    <w:rsid w:val="00191DDA"/>
    <w:rsid w:val="0019287C"/>
    <w:rsid w:val="001929F0"/>
    <w:rsid w:val="00192A3C"/>
    <w:rsid w:val="00193D97"/>
    <w:rsid w:val="001949E3"/>
    <w:rsid w:val="00194CD0"/>
    <w:rsid w:val="00194D46"/>
    <w:rsid w:val="001957E7"/>
    <w:rsid w:val="0019688D"/>
    <w:rsid w:val="001971E7"/>
    <w:rsid w:val="001972FE"/>
    <w:rsid w:val="001A0249"/>
    <w:rsid w:val="001A108B"/>
    <w:rsid w:val="001A10B4"/>
    <w:rsid w:val="001A116A"/>
    <w:rsid w:val="001A12E6"/>
    <w:rsid w:val="001A232E"/>
    <w:rsid w:val="001A256A"/>
    <w:rsid w:val="001A2CC9"/>
    <w:rsid w:val="001A455D"/>
    <w:rsid w:val="001A4A11"/>
    <w:rsid w:val="001A4AD7"/>
    <w:rsid w:val="001A4F9A"/>
    <w:rsid w:val="001A54C0"/>
    <w:rsid w:val="001A6793"/>
    <w:rsid w:val="001A7571"/>
    <w:rsid w:val="001A7CAB"/>
    <w:rsid w:val="001B0409"/>
    <w:rsid w:val="001B0890"/>
    <w:rsid w:val="001B1E45"/>
    <w:rsid w:val="001B1EAC"/>
    <w:rsid w:val="001B1ED6"/>
    <w:rsid w:val="001B2428"/>
    <w:rsid w:val="001B244F"/>
    <w:rsid w:val="001B2BBF"/>
    <w:rsid w:val="001B3657"/>
    <w:rsid w:val="001B469B"/>
    <w:rsid w:val="001B49C9"/>
    <w:rsid w:val="001B5166"/>
    <w:rsid w:val="001B5581"/>
    <w:rsid w:val="001B590A"/>
    <w:rsid w:val="001B5AAE"/>
    <w:rsid w:val="001B5B19"/>
    <w:rsid w:val="001B5C2E"/>
    <w:rsid w:val="001B5C9F"/>
    <w:rsid w:val="001B5CD5"/>
    <w:rsid w:val="001B73C5"/>
    <w:rsid w:val="001C0AA8"/>
    <w:rsid w:val="001C0C01"/>
    <w:rsid w:val="001C230E"/>
    <w:rsid w:val="001C2399"/>
    <w:rsid w:val="001C248C"/>
    <w:rsid w:val="001C2578"/>
    <w:rsid w:val="001C292F"/>
    <w:rsid w:val="001C430C"/>
    <w:rsid w:val="001C43AA"/>
    <w:rsid w:val="001C445F"/>
    <w:rsid w:val="001C52C7"/>
    <w:rsid w:val="001C741C"/>
    <w:rsid w:val="001C7A9B"/>
    <w:rsid w:val="001C7BD7"/>
    <w:rsid w:val="001D0702"/>
    <w:rsid w:val="001D29FE"/>
    <w:rsid w:val="001D4BBB"/>
    <w:rsid w:val="001D4F23"/>
    <w:rsid w:val="001D56D3"/>
    <w:rsid w:val="001D6C25"/>
    <w:rsid w:val="001D760B"/>
    <w:rsid w:val="001D7F65"/>
    <w:rsid w:val="001E0D10"/>
    <w:rsid w:val="001E0FD3"/>
    <w:rsid w:val="001E29FE"/>
    <w:rsid w:val="001E3180"/>
    <w:rsid w:val="001E4806"/>
    <w:rsid w:val="001E4912"/>
    <w:rsid w:val="001E532C"/>
    <w:rsid w:val="001E617A"/>
    <w:rsid w:val="001E6457"/>
    <w:rsid w:val="001E6AB2"/>
    <w:rsid w:val="001F01B8"/>
    <w:rsid w:val="001F1382"/>
    <w:rsid w:val="001F13F4"/>
    <w:rsid w:val="001F1429"/>
    <w:rsid w:val="001F168B"/>
    <w:rsid w:val="001F20F2"/>
    <w:rsid w:val="001F210F"/>
    <w:rsid w:val="001F2502"/>
    <w:rsid w:val="001F253F"/>
    <w:rsid w:val="001F2842"/>
    <w:rsid w:val="001F2C81"/>
    <w:rsid w:val="001F3172"/>
    <w:rsid w:val="001F3331"/>
    <w:rsid w:val="001F35CF"/>
    <w:rsid w:val="001F40CC"/>
    <w:rsid w:val="001F4C0D"/>
    <w:rsid w:val="001F6748"/>
    <w:rsid w:val="001F6F10"/>
    <w:rsid w:val="001F7022"/>
    <w:rsid w:val="001F71EA"/>
    <w:rsid w:val="001F7831"/>
    <w:rsid w:val="00200005"/>
    <w:rsid w:val="002008B5"/>
    <w:rsid w:val="00200D1A"/>
    <w:rsid w:val="00200F1D"/>
    <w:rsid w:val="00202F23"/>
    <w:rsid w:val="002031B8"/>
    <w:rsid w:val="00204045"/>
    <w:rsid w:val="00205B5D"/>
    <w:rsid w:val="00206767"/>
    <w:rsid w:val="00206B9F"/>
    <w:rsid w:val="00206E5E"/>
    <w:rsid w:val="002072CC"/>
    <w:rsid w:val="00210858"/>
    <w:rsid w:val="00210EA9"/>
    <w:rsid w:val="0021215E"/>
    <w:rsid w:val="002128CC"/>
    <w:rsid w:val="00213C24"/>
    <w:rsid w:val="00213D46"/>
    <w:rsid w:val="00213E0C"/>
    <w:rsid w:val="00214C3F"/>
    <w:rsid w:val="00215C17"/>
    <w:rsid w:val="002160C0"/>
    <w:rsid w:val="00220FFB"/>
    <w:rsid w:val="00221212"/>
    <w:rsid w:val="002212EA"/>
    <w:rsid w:val="002217E6"/>
    <w:rsid w:val="0022289E"/>
    <w:rsid w:val="002237EF"/>
    <w:rsid w:val="00224184"/>
    <w:rsid w:val="002244A1"/>
    <w:rsid w:val="00224725"/>
    <w:rsid w:val="0022494B"/>
    <w:rsid w:val="00225013"/>
    <w:rsid w:val="00225357"/>
    <w:rsid w:val="00225F2E"/>
    <w:rsid w:val="0022606D"/>
    <w:rsid w:val="00226902"/>
    <w:rsid w:val="00226E7D"/>
    <w:rsid w:val="002274B2"/>
    <w:rsid w:val="002278C3"/>
    <w:rsid w:val="0022791B"/>
    <w:rsid w:val="002304DC"/>
    <w:rsid w:val="00231108"/>
    <w:rsid w:val="002312F7"/>
    <w:rsid w:val="002316B5"/>
    <w:rsid w:val="00231D81"/>
    <w:rsid w:val="0023436B"/>
    <w:rsid w:val="00235955"/>
    <w:rsid w:val="00235D53"/>
    <w:rsid w:val="00236209"/>
    <w:rsid w:val="002376EB"/>
    <w:rsid w:val="00240892"/>
    <w:rsid w:val="00240B3B"/>
    <w:rsid w:val="00241641"/>
    <w:rsid w:val="002419D9"/>
    <w:rsid w:val="00241A04"/>
    <w:rsid w:val="0024207F"/>
    <w:rsid w:val="00243816"/>
    <w:rsid w:val="00243D46"/>
    <w:rsid w:val="0024583E"/>
    <w:rsid w:val="00246142"/>
    <w:rsid w:val="00246857"/>
    <w:rsid w:val="0024777E"/>
    <w:rsid w:val="00247836"/>
    <w:rsid w:val="002501D4"/>
    <w:rsid w:val="0025120C"/>
    <w:rsid w:val="002516BD"/>
    <w:rsid w:val="00251EDF"/>
    <w:rsid w:val="00252BEF"/>
    <w:rsid w:val="0025381A"/>
    <w:rsid w:val="002540C7"/>
    <w:rsid w:val="002544C3"/>
    <w:rsid w:val="00254E8E"/>
    <w:rsid w:val="00255014"/>
    <w:rsid w:val="0025526B"/>
    <w:rsid w:val="002557B4"/>
    <w:rsid w:val="00255B91"/>
    <w:rsid w:val="002567AF"/>
    <w:rsid w:val="00257040"/>
    <w:rsid w:val="00260943"/>
    <w:rsid w:val="002613B4"/>
    <w:rsid w:val="00261B7F"/>
    <w:rsid w:val="00262ED1"/>
    <w:rsid w:val="00263AAB"/>
    <w:rsid w:val="00264382"/>
    <w:rsid w:val="002644FF"/>
    <w:rsid w:val="0026591C"/>
    <w:rsid w:val="00265E79"/>
    <w:rsid w:val="0026675C"/>
    <w:rsid w:val="00266BF3"/>
    <w:rsid w:val="00266C27"/>
    <w:rsid w:val="00267210"/>
    <w:rsid w:val="00267272"/>
    <w:rsid w:val="00267351"/>
    <w:rsid w:val="00267D35"/>
    <w:rsid w:val="002710D2"/>
    <w:rsid w:val="0027138D"/>
    <w:rsid w:val="0027153B"/>
    <w:rsid w:val="00271840"/>
    <w:rsid w:val="00271B9C"/>
    <w:rsid w:val="00271F28"/>
    <w:rsid w:val="00272449"/>
    <w:rsid w:val="002727F5"/>
    <w:rsid w:val="002732BE"/>
    <w:rsid w:val="002732C7"/>
    <w:rsid w:val="00273DB9"/>
    <w:rsid w:val="00273DFA"/>
    <w:rsid w:val="002744E0"/>
    <w:rsid w:val="002747EC"/>
    <w:rsid w:val="00274877"/>
    <w:rsid w:val="0027499C"/>
    <w:rsid w:val="00274AA6"/>
    <w:rsid w:val="00275D5D"/>
    <w:rsid w:val="00276C43"/>
    <w:rsid w:val="00277256"/>
    <w:rsid w:val="0027743A"/>
    <w:rsid w:val="0027745C"/>
    <w:rsid w:val="002774FA"/>
    <w:rsid w:val="0027754D"/>
    <w:rsid w:val="00277BDD"/>
    <w:rsid w:val="00280BE7"/>
    <w:rsid w:val="002811B9"/>
    <w:rsid w:val="00281B51"/>
    <w:rsid w:val="00281E00"/>
    <w:rsid w:val="002820BD"/>
    <w:rsid w:val="00282BD6"/>
    <w:rsid w:val="00283130"/>
    <w:rsid w:val="00283990"/>
    <w:rsid w:val="002855BF"/>
    <w:rsid w:val="00286643"/>
    <w:rsid w:val="00286B13"/>
    <w:rsid w:val="0028712E"/>
    <w:rsid w:val="00287A4E"/>
    <w:rsid w:val="00287A80"/>
    <w:rsid w:val="002913F1"/>
    <w:rsid w:val="002914B5"/>
    <w:rsid w:val="00291C97"/>
    <w:rsid w:val="00292B91"/>
    <w:rsid w:val="0029305F"/>
    <w:rsid w:val="00293AC2"/>
    <w:rsid w:val="00294475"/>
    <w:rsid w:val="002946B8"/>
    <w:rsid w:val="00295297"/>
    <w:rsid w:val="0029572D"/>
    <w:rsid w:val="00295A4D"/>
    <w:rsid w:val="00295FA6"/>
    <w:rsid w:val="002961FE"/>
    <w:rsid w:val="00296689"/>
    <w:rsid w:val="002967BD"/>
    <w:rsid w:val="00297284"/>
    <w:rsid w:val="00297755"/>
    <w:rsid w:val="002A0D58"/>
    <w:rsid w:val="002A1B9E"/>
    <w:rsid w:val="002A1F6B"/>
    <w:rsid w:val="002A25A1"/>
    <w:rsid w:val="002A2C0D"/>
    <w:rsid w:val="002A444A"/>
    <w:rsid w:val="002A4559"/>
    <w:rsid w:val="002A58D7"/>
    <w:rsid w:val="002A5B39"/>
    <w:rsid w:val="002A7216"/>
    <w:rsid w:val="002A7579"/>
    <w:rsid w:val="002B085E"/>
    <w:rsid w:val="002B08FC"/>
    <w:rsid w:val="002B14C8"/>
    <w:rsid w:val="002B271A"/>
    <w:rsid w:val="002B2935"/>
    <w:rsid w:val="002B3830"/>
    <w:rsid w:val="002B5B8A"/>
    <w:rsid w:val="002B5E5F"/>
    <w:rsid w:val="002B6724"/>
    <w:rsid w:val="002B6E69"/>
    <w:rsid w:val="002B7215"/>
    <w:rsid w:val="002B736A"/>
    <w:rsid w:val="002B76DB"/>
    <w:rsid w:val="002B7EBE"/>
    <w:rsid w:val="002C13F0"/>
    <w:rsid w:val="002C1705"/>
    <w:rsid w:val="002C1927"/>
    <w:rsid w:val="002C2BC2"/>
    <w:rsid w:val="002C38D1"/>
    <w:rsid w:val="002C4246"/>
    <w:rsid w:val="002C4D42"/>
    <w:rsid w:val="002C4F8C"/>
    <w:rsid w:val="002C6AD5"/>
    <w:rsid w:val="002C6D17"/>
    <w:rsid w:val="002C6D41"/>
    <w:rsid w:val="002C7356"/>
    <w:rsid w:val="002C7DE0"/>
    <w:rsid w:val="002D0488"/>
    <w:rsid w:val="002D2403"/>
    <w:rsid w:val="002D246E"/>
    <w:rsid w:val="002D266C"/>
    <w:rsid w:val="002D281A"/>
    <w:rsid w:val="002D3263"/>
    <w:rsid w:val="002D3B8F"/>
    <w:rsid w:val="002D3F37"/>
    <w:rsid w:val="002D4B89"/>
    <w:rsid w:val="002D5715"/>
    <w:rsid w:val="002D740D"/>
    <w:rsid w:val="002D775D"/>
    <w:rsid w:val="002E08D7"/>
    <w:rsid w:val="002E0BFD"/>
    <w:rsid w:val="002E119D"/>
    <w:rsid w:val="002E14EC"/>
    <w:rsid w:val="002E16F0"/>
    <w:rsid w:val="002E385E"/>
    <w:rsid w:val="002E3DE6"/>
    <w:rsid w:val="002E3F6C"/>
    <w:rsid w:val="002E5329"/>
    <w:rsid w:val="002E5708"/>
    <w:rsid w:val="002E6AB1"/>
    <w:rsid w:val="002F021A"/>
    <w:rsid w:val="002F0A30"/>
    <w:rsid w:val="002F0D22"/>
    <w:rsid w:val="002F1024"/>
    <w:rsid w:val="002F1184"/>
    <w:rsid w:val="002F1637"/>
    <w:rsid w:val="002F16A0"/>
    <w:rsid w:val="002F225E"/>
    <w:rsid w:val="002F32AC"/>
    <w:rsid w:val="002F39FE"/>
    <w:rsid w:val="002F4D01"/>
    <w:rsid w:val="002F5976"/>
    <w:rsid w:val="002F7AFB"/>
    <w:rsid w:val="003011B2"/>
    <w:rsid w:val="0030158F"/>
    <w:rsid w:val="00301E42"/>
    <w:rsid w:val="0030237C"/>
    <w:rsid w:val="00302A1F"/>
    <w:rsid w:val="0030371D"/>
    <w:rsid w:val="00303EDF"/>
    <w:rsid w:val="0030506D"/>
    <w:rsid w:val="00305DEB"/>
    <w:rsid w:val="00306A85"/>
    <w:rsid w:val="00306F94"/>
    <w:rsid w:val="003108BF"/>
    <w:rsid w:val="00310C8B"/>
    <w:rsid w:val="0031193C"/>
    <w:rsid w:val="003122CD"/>
    <w:rsid w:val="003124D1"/>
    <w:rsid w:val="003144A0"/>
    <w:rsid w:val="0031462E"/>
    <w:rsid w:val="00314B4A"/>
    <w:rsid w:val="00315464"/>
    <w:rsid w:val="00315964"/>
    <w:rsid w:val="00316632"/>
    <w:rsid w:val="00316BDB"/>
    <w:rsid w:val="00316DF2"/>
    <w:rsid w:val="003172DC"/>
    <w:rsid w:val="00317FB1"/>
    <w:rsid w:val="00321910"/>
    <w:rsid w:val="00321EA2"/>
    <w:rsid w:val="003223A2"/>
    <w:rsid w:val="003225A1"/>
    <w:rsid w:val="003227AE"/>
    <w:rsid w:val="003230CC"/>
    <w:rsid w:val="00323696"/>
    <w:rsid w:val="00324F5C"/>
    <w:rsid w:val="003257D5"/>
    <w:rsid w:val="00325E3E"/>
    <w:rsid w:val="00326069"/>
    <w:rsid w:val="003268C5"/>
    <w:rsid w:val="003308DA"/>
    <w:rsid w:val="00330D98"/>
    <w:rsid w:val="003321C5"/>
    <w:rsid w:val="0033240A"/>
    <w:rsid w:val="003329A7"/>
    <w:rsid w:val="003331F5"/>
    <w:rsid w:val="00333412"/>
    <w:rsid w:val="00333785"/>
    <w:rsid w:val="003339FF"/>
    <w:rsid w:val="00333CB8"/>
    <w:rsid w:val="00333E58"/>
    <w:rsid w:val="003347E7"/>
    <w:rsid w:val="003350FF"/>
    <w:rsid w:val="0033558E"/>
    <w:rsid w:val="00335793"/>
    <w:rsid w:val="00336086"/>
    <w:rsid w:val="00336C96"/>
    <w:rsid w:val="003372F6"/>
    <w:rsid w:val="00337304"/>
    <w:rsid w:val="00343005"/>
    <w:rsid w:val="00343839"/>
    <w:rsid w:val="00345698"/>
    <w:rsid w:val="00345EE6"/>
    <w:rsid w:val="003465A3"/>
    <w:rsid w:val="00347363"/>
    <w:rsid w:val="00347F22"/>
    <w:rsid w:val="003501F3"/>
    <w:rsid w:val="003502BF"/>
    <w:rsid w:val="003503E3"/>
    <w:rsid w:val="00350A42"/>
    <w:rsid w:val="00350F04"/>
    <w:rsid w:val="00351B90"/>
    <w:rsid w:val="00351C20"/>
    <w:rsid w:val="0035419F"/>
    <w:rsid w:val="0035462D"/>
    <w:rsid w:val="003549AD"/>
    <w:rsid w:val="00354E6B"/>
    <w:rsid w:val="003550D2"/>
    <w:rsid w:val="003558DB"/>
    <w:rsid w:val="0035703D"/>
    <w:rsid w:val="00357350"/>
    <w:rsid w:val="00360520"/>
    <w:rsid w:val="00360DD5"/>
    <w:rsid w:val="00361436"/>
    <w:rsid w:val="003618AA"/>
    <w:rsid w:val="00361A70"/>
    <w:rsid w:val="00361E7B"/>
    <w:rsid w:val="003627E8"/>
    <w:rsid w:val="00362876"/>
    <w:rsid w:val="003633D0"/>
    <w:rsid w:val="00363596"/>
    <w:rsid w:val="00363F32"/>
    <w:rsid w:val="00363F72"/>
    <w:rsid w:val="00364302"/>
    <w:rsid w:val="00365B18"/>
    <w:rsid w:val="00370105"/>
    <w:rsid w:val="00371923"/>
    <w:rsid w:val="00371BED"/>
    <w:rsid w:val="00371C63"/>
    <w:rsid w:val="003735DC"/>
    <w:rsid w:val="00373976"/>
    <w:rsid w:val="003740C5"/>
    <w:rsid w:val="003746A8"/>
    <w:rsid w:val="00374F46"/>
    <w:rsid w:val="00375799"/>
    <w:rsid w:val="00376494"/>
    <w:rsid w:val="0037653C"/>
    <w:rsid w:val="00376F5D"/>
    <w:rsid w:val="00377203"/>
    <w:rsid w:val="003777F7"/>
    <w:rsid w:val="00377D00"/>
    <w:rsid w:val="00377FA0"/>
    <w:rsid w:val="00380B2E"/>
    <w:rsid w:val="00381E93"/>
    <w:rsid w:val="00382523"/>
    <w:rsid w:val="00382973"/>
    <w:rsid w:val="00382B40"/>
    <w:rsid w:val="0038350A"/>
    <w:rsid w:val="00384F65"/>
    <w:rsid w:val="003857DF"/>
    <w:rsid w:val="00386152"/>
    <w:rsid w:val="00387804"/>
    <w:rsid w:val="0039045C"/>
    <w:rsid w:val="003906BA"/>
    <w:rsid w:val="00391A9B"/>
    <w:rsid w:val="003921EE"/>
    <w:rsid w:val="003932F5"/>
    <w:rsid w:val="00393A9C"/>
    <w:rsid w:val="00393D94"/>
    <w:rsid w:val="003946BB"/>
    <w:rsid w:val="00395D4D"/>
    <w:rsid w:val="00395E59"/>
    <w:rsid w:val="00396AD1"/>
    <w:rsid w:val="00396FE0"/>
    <w:rsid w:val="0039744A"/>
    <w:rsid w:val="00397849"/>
    <w:rsid w:val="00397FBE"/>
    <w:rsid w:val="003A1931"/>
    <w:rsid w:val="003A23B2"/>
    <w:rsid w:val="003A28D7"/>
    <w:rsid w:val="003A313B"/>
    <w:rsid w:val="003A4A0F"/>
    <w:rsid w:val="003A5FB2"/>
    <w:rsid w:val="003A76A2"/>
    <w:rsid w:val="003A7B57"/>
    <w:rsid w:val="003B0966"/>
    <w:rsid w:val="003B098B"/>
    <w:rsid w:val="003B2E96"/>
    <w:rsid w:val="003B3255"/>
    <w:rsid w:val="003B3D64"/>
    <w:rsid w:val="003B3FFD"/>
    <w:rsid w:val="003B5124"/>
    <w:rsid w:val="003B5AB2"/>
    <w:rsid w:val="003B6786"/>
    <w:rsid w:val="003B7296"/>
    <w:rsid w:val="003B775D"/>
    <w:rsid w:val="003C0A4C"/>
    <w:rsid w:val="003C0B75"/>
    <w:rsid w:val="003C1342"/>
    <w:rsid w:val="003C18A7"/>
    <w:rsid w:val="003C1DC3"/>
    <w:rsid w:val="003C2EDC"/>
    <w:rsid w:val="003C2F3B"/>
    <w:rsid w:val="003C388C"/>
    <w:rsid w:val="003C4B20"/>
    <w:rsid w:val="003C4B31"/>
    <w:rsid w:val="003C4E37"/>
    <w:rsid w:val="003C532E"/>
    <w:rsid w:val="003C5A5D"/>
    <w:rsid w:val="003C5C29"/>
    <w:rsid w:val="003C5E82"/>
    <w:rsid w:val="003C5F5A"/>
    <w:rsid w:val="003C6592"/>
    <w:rsid w:val="003C6654"/>
    <w:rsid w:val="003C6BCA"/>
    <w:rsid w:val="003C745B"/>
    <w:rsid w:val="003C75A5"/>
    <w:rsid w:val="003D0745"/>
    <w:rsid w:val="003D1968"/>
    <w:rsid w:val="003D1A73"/>
    <w:rsid w:val="003D1D7F"/>
    <w:rsid w:val="003D228B"/>
    <w:rsid w:val="003D2D3C"/>
    <w:rsid w:val="003D32AB"/>
    <w:rsid w:val="003D3E83"/>
    <w:rsid w:val="003D4949"/>
    <w:rsid w:val="003D4ADC"/>
    <w:rsid w:val="003D5615"/>
    <w:rsid w:val="003D59F6"/>
    <w:rsid w:val="003D60E9"/>
    <w:rsid w:val="003D6136"/>
    <w:rsid w:val="003D710A"/>
    <w:rsid w:val="003E084C"/>
    <w:rsid w:val="003E16BE"/>
    <w:rsid w:val="003E2BE7"/>
    <w:rsid w:val="003E33BA"/>
    <w:rsid w:val="003E3FD9"/>
    <w:rsid w:val="003E4486"/>
    <w:rsid w:val="003E56CA"/>
    <w:rsid w:val="003E5CA4"/>
    <w:rsid w:val="003E6219"/>
    <w:rsid w:val="003E68F9"/>
    <w:rsid w:val="003E7482"/>
    <w:rsid w:val="003E7BDC"/>
    <w:rsid w:val="003F02A8"/>
    <w:rsid w:val="003F10E0"/>
    <w:rsid w:val="003F11ED"/>
    <w:rsid w:val="003F1397"/>
    <w:rsid w:val="003F26D4"/>
    <w:rsid w:val="003F29B0"/>
    <w:rsid w:val="003F29FA"/>
    <w:rsid w:val="003F2B05"/>
    <w:rsid w:val="003F2D3C"/>
    <w:rsid w:val="003F2FF2"/>
    <w:rsid w:val="003F4B0F"/>
    <w:rsid w:val="003F5E15"/>
    <w:rsid w:val="003F6DF5"/>
    <w:rsid w:val="003F72CC"/>
    <w:rsid w:val="0040015C"/>
    <w:rsid w:val="0040020B"/>
    <w:rsid w:val="00400E7A"/>
    <w:rsid w:val="00401394"/>
    <w:rsid w:val="00401855"/>
    <w:rsid w:val="004023DB"/>
    <w:rsid w:val="0040257C"/>
    <w:rsid w:val="00402D77"/>
    <w:rsid w:val="00403B4F"/>
    <w:rsid w:val="004043C7"/>
    <w:rsid w:val="004053AC"/>
    <w:rsid w:val="00405791"/>
    <w:rsid w:val="00406042"/>
    <w:rsid w:val="004062DC"/>
    <w:rsid w:val="0040630E"/>
    <w:rsid w:val="00406E19"/>
    <w:rsid w:val="00407806"/>
    <w:rsid w:val="00407914"/>
    <w:rsid w:val="00407AAA"/>
    <w:rsid w:val="00410043"/>
    <w:rsid w:val="0041079E"/>
    <w:rsid w:val="004107A6"/>
    <w:rsid w:val="00410FF8"/>
    <w:rsid w:val="0041114A"/>
    <w:rsid w:val="00411480"/>
    <w:rsid w:val="00411A33"/>
    <w:rsid w:val="00411BA8"/>
    <w:rsid w:val="00411DB2"/>
    <w:rsid w:val="00412C38"/>
    <w:rsid w:val="00413952"/>
    <w:rsid w:val="00414983"/>
    <w:rsid w:val="00414DD2"/>
    <w:rsid w:val="00415F3E"/>
    <w:rsid w:val="00415FDF"/>
    <w:rsid w:val="004160D9"/>
    <w:rsid w:val="00416785"/>
    <w:rsid w:val="00416CDA"/>
    <w:rsid w:val="00416F1F"/>
    <w:rsid w:val="00417036"/>
    <w:rsid w:val="00417856"/>
    <w:rsid w:val="00417D7A"/>
    <w:rsid w:val="00420AB1"/>
    <w:rsid w:val="00420D2C"/>
    <w:rsid w:val="00421504"/>
    <w:rsid w:val="00421EEF"/>
    <w:rsid w:val="0042246F"/>
    <w:rsid w:val="00422948"/>
    <w:rsid w:val="00423B05"/>
    <w:rsid w:val="00424280"/>
    <w:rsid w:val="004244B0"/>
    <w:rsid w:val="00424AE0"/>
    <w:rsid w:val="00425ECE"/>
    <w:rsid w:val="004264A5"/>
    <w:rsid w:val="004303CA"/>
    <w:rsid w:val="00430971"/>
    <w:rsid w:val="00430AE5"/>
    <w:rsid w:val="00431685"/>
    <w:rsid w:val="00432839"/>
    <w:rsid w:val="00432CC0"/>
    <w:rsid w:val="0043457E"/>
    <w:rsid w:val="004354D5"/>
    <w:rsid w:val="004359C8"/>
    <w:rsid w:val="00435BA2"/>
    <w:rsid w:val="00435E81"/>
    <w:rsid w:val="00436792"/>
    <w:rsid w:val="004376D1"/>
    <w:rsid w:val="00440460"/>
    <w:rsid w:val="0044059F"/>
    <w:rsid w:val="0044065D"/>
    <w:rsid w:val="004407D8"/>
    <w:rsid w:val="00440A26"/>
    <w:rsid w:val="004412DE"/>
    <w:rsid w:val="00442163"/>
    <w:rsid w:val="0044260D"/>
    <w:rsid w:val="00443101"/>
    <w:rsid w:val="004434B5"/>
    <w:rsid w:val="00444CA1"/>
    <w:rsid w:val="00445BF7"/>
    <w:rsid w:val="00446937"/>
    <w:rsid w:val="00446A6F"/>
    <w:rsid w:val="00447390"/>
    <w:rsid w:val="00450AFC"/>
    <w:rsid w:val="00450F80"/>
    <w:rsid w:val="00451493"/>
    <w:rsid w:val="0045187E"/>
    <w:rsid w:val="0045282F"/>
    <w:rsid w:val="00452939"/>
    <w:rsid w:val="004531A5"/>
    <w:rsid w:val="00453309"/>
    <w:rsid w:val="00453353"/>
    <w:rsid w:val="00453A8B"/>
    <w:rsid w:val="00453E1E"/>
    <w:rsid w:val="00455198"/>
    <w:rsid w:val="004562E4"/>
    <w:rsid w:val="00457732"/>
    <w:rsid w:val="004602CE"/>
    <w:rsid w:val="00460414"/>
    <w:rsid w:val="00461170"/>
    <w:rsid w:val="00461B81"/>
    <w:rsid w:val="0046353E"/>
    <w:rsid w:val="00463BC7"/>
    <w:rsid w:val="0046542D"/>
    <w:rsid w:val="00465752"/>
    <w:rsid w:val="0046616F"/>
    <w:rsid w:val="00466E3A"/>
    <w:rsid w:val="00466EE5"/>
    <w:rsid w:val="0046744B"/>
    <w:rsid w:val="0047067B"/>
    <w:rsid w:val="00470B0D"/>
    <w:rsid w:val="004710E7"/>
    <w:rsid w:val="0047121F"/>
    <w:rsid w:val="004723A6"/>
    <w:rsid w:val="00473877"/>
    <w:rsid w:val="00474953"/>
    <w:rsid w:val="00474ABF"/>
    <w:rsid w:val="004758B7"/>
    <w:rsid w:val="00477455"/>
    <w:rsid w:val="00477576"/>
    <w:rsid w:val="00477CF1"/>
    <w:rsid w:val="00477F0A"/>
    <w:rsid w:val="0048036B"/>
    <w:rsid w:val="004822ED"/>
    <w:rsid w:val="00482870"/>
    <w:rsid w:val="004829DF"/>
    <w:rsid w:val="00482A5E"/>
    <w:rsid w:val="00483FCE"/>
    <w:rsid w:val="0048478F"/>
    <w:rsid w:val="0048479A"/>
    <w:rsid w:val="00485602"/>
    <w:rsid w:val="00485699"/>
    <w:rsid w:val="004868DF"/>
    <w:rsid w:val="0048761A"/>
    <w:rsid w:val="00487FB8"/>
    <w:rsid w:val="00490A0D"/>
    <w:rsid w:val="00491C3C"/>
    <w:rsid w:val="00492E13"/>
    <w:rsid w:val="00493278"/>
    <w:rsid w:val="00493545"/>
    <w:rsid w:val="00494A1A"/>
    <w:rsid w:val="00494AE7"/>
    <w:rsid w:val="00495070"/>
    <w:rsid w:val="00495709"/>
    <w:rsid w:val="00497AE9"/>
    <w:rsid w:val="004A0CCA"/>
    <w:rsid w:val="004A2946"/>
    <w:rsid w:val="004A3BCC"/>
    <w:rsid w:val="004A48A7"/>
    <w:rsid w:val="004A4AD1"/>
    <w:rsid w:val="004A515C"/>
    <w:rsid w:val="004A5F74"/>
    <w:rsid w:val="004A64AA"/>
    <w:rsid w:val="004A6D5B"/>
    <w:rsid w:val="004A7A4F"/>
    <w:rsid w:val="004A7CCA"/>
    <w:rsid w:val="004A7D19"/>
    <w:rsid w:val="004B0368"/>
    <w:rsid w:val="004B098F"/>
    <w:rsid w:val="004B0BD3"/>
    <w:rsid w:val="004B2088"/>
    <w:rsid w:val="004B2AAA"/>
    <w:rsid w:val="004B2E44"/>
    <w:rsid w:val="004B31D3"/>
    <w:rsid w:val="004B3B5B"/>
    <w:rsid w:val="004B554C"/>
    <w:rsid w:val="004B57D6"/>
    <w:rsid w:val="004B5ADF"/>
    <w:rsid w:val="004B60D2"/>
    <w:rsid w:val="004B68FF"/>
    <w:rsid w:val="004B724F"/>
    <w:rsid w:val="004B733B"/>
    <w:rsid w:val="004C0C8F"/>
    <w:rsid w:val="004C102B"/>
    <w:rsid w:val="004C301C"/>
    <w:rsid w:val="004C4187"/>
    <w:rsid w:val="004C4256"/>
    <w:rsid w:val="004C68FE"/>
    <w:rsid w:val="004C69B9"/>
    <w:rsid w:val="004C7E5B"/>
    <w:rsid w:val="004C7F70"/>
    <w:rsid w:val="004D16BF"/>
    <w:rsid w:val="004D1EF3"/>
    <w:rsid w:val="004D2CBE"/>
    <w:rsid w:val="004D2D3D"/>
    <w:rsid w:val="004D3015"/>
    <w:rsid w:val="004D3578"/>
    <w:rsid w:val="004D37B1"/>
    <w:rsid w:val="004D380D"/>
    <w:rsid w:val="004D38F0"/>
    <w:rsid w:val="004D4097"/>
    <w:rsid w:val="004D5123"/>
    <w:rsid w:val="004D5458"/>
    <w:rsid w:val="004D6A4F"/>
    <w:rsid w:val="004D75B6"/>
    <w:rsid w:val="004D7D55"/>
    <w:rsid w:val="004E053F"/>
    <w:rsid w:val="004E09C3"/>
    <w:rsid w:val="004E1727"/>
    <w:rsid w:val="004E18C3"/>
    <w:rsid w:val="004E1F45"/>
    <w:rsid w:val="004E213A"/>
    <w:rsid w:val="004E2A6A"/>
    <w:rsid w:val="004E2DE2"/>
    <w:rsid w:val="004E2DFC"/>
    <w:rsid w:val="004E2F7A"/>
    <w:rsid w:val="004E4D65"/>
    <w:rsid w:val="004E4D6B"/>
    <w:rsid w:val="004E6A1F"/>
    <w:rsid w:val="004E6E6D"/>
    <w:rsid w:val="004F01BB"/>
    <w:rsid w:val="004F041A"/>
    <w:rsid w:val="004F2408"/>
    <w:rsid w:val="004F2D6E"/>
    <w:rsid w:val="004F2D75"/>
    <w:rsid w:val="004F2F1F"/>
    <w:rsid w:val="004F35B9"/>
    <w:rsid w:val="004F443A"/>
    <w:rsid w:val="004F4B72"/>
    <w:rsid w:val="004F4F41"/>
    <w:rsid w:val="004F55AB"/>
    <w:rsid w:val="004F662B"/>
    <w:rsid w:val="004F682C"/>
    <w:rsid w:val="004F731C"/>
    <w:rsid w:val="004F7625"/>
    <w:rsid w:val="00500B50"/>
    <w:rsid w:val="00500BD9"/>
    <w:rsid w:val="00501102"/>
    <w:rsid w:val="005012B5"/>
    <w:rsid w:val="00501394"/>
    <w:rsid w:val="00501990"/>
    <w:rsid w:val="00501EF9"/>
    <w:rsid w:val="00502255"/>
    <w:rsid w:val="005027E8"/>
    <w:rsid w:val="00503171"/>
    <w:rsid w:val="00503657"/>
    <w:rsid w:val="0050458A"/>
    <w:rsid w:val="0050469C"/>
    <w:rsid w:val="00504A16"/>
    <w:rsid w:val="00505283"/>
    <w:rsid w:val="005054AF"/>
    <w:rsid w:val="00505CD0"/>
    <w:rsid w:val="00506354"/>
    <w:rsid w:val="005064CF"/>
    <w:rsid w:val="00506787"/>
    <w:rsid w:val="00506D5D"/>
    <w:rsid w:val="0051020F"/>
    <w:rsid w:val="005108DB"/>
    <w:rsid w:val="00511174"/>
    <w:rsid w:val="0051342B"/>
    <w:rsid w:val="00514346"/>
    <w:rsid w:val="00516B09"/>
    <w:rsid w:val="00517129"/>
    <w:rsid w:val="00517356"/>
    <w:rsid w:val="00520055"/>
    <w:rsid w:val="00520E9C"/>
    <w:rsid w:val="0052173B"/>
    <w:rsid w:val="005233DF"/>
    <w:rsid w:val="00523EAF"/>
    <w:rsid w:val="005250A2"/>
    <w:rsid w:val="00525125"/>
    <w:rsid w:val="00525DDC"/>
    <w:rsid w:val="00526AD6"/>
    <w:rsid w:val="00526CC0"/>
    <w:rsid w:val="00526EEC"/>
    <w:rsid w:val="005278E9"/>
    <w:rsid w:val="005279F6"/>
    <w:rsid w:val="00527A33"/>
    <w:rsid w:val="00527D7F"/>
    <w:rsid w:val="00527F52"/>
    <w:rsid w:val="005302BA"/>
    <w:rsid w:val="00530340"/>
    <w:rsid w:val="005316EC"/>
    <w:rsid w:val="005321E5"/>
    <w:rsid w:val="005327C2"/>
    <w:rsid w:val="005333E6"/>
    <w:rsid w:val="0053387A"/>
    <w:rsid w:val="005346A7"/>
    <w:rsid w:val="00534DA0"/>
    <w:rsid w:val="00536D15"/>
    <w:rsid w:val="0053724A"/>
    <w:rsid w:val="00540B87"/>
    <w:rsid w:val="0054117C"/>
    <w:rsid w:val="00541D6B"/>
    <w:rsid w:val="0054317E"/>
    <w:rsid w:val="00543195"/>
    <w:rsid w:val="00543E6C"/>
    <w:rsid w:val="00546581"/>
    <w:rsid w:val="00547884"/>
    <w:rsid w:val="00547A33"/>
    <w:rsid w:val="00547D54"/>
    <w:rsid w:val="00550229"/>
    <w:rsid w:val="0055193A"/>
    <w:rsid w:val="00552BB4"/>
    <w:rsid w:val="00552DBA"/>
    <w:rsid w:val="00553FFB"/>
    <w:rsid w:val="005541EF"/>
    <w:rsid w:val="00554A25"/>
    <w:rsid w:val="00554E72"/>
    <w:rsid w:val="00555457"/>
    <w:rsid w:val="00556C2B"/>
    <w:rsid w:val="00556D08"/>
    <w:rsid w:val="00557693"/>
    <w:rsid w:val="005578DE"/>
    <w:rsid w:val="00557DF5"/>
    <w:rsid w:val="00561258"/>
    <w:rsid w:val="005615EF"/>
    <w:rsid w:val="005616F4"/>
    <w:rsid w:val="00561E97"/>
    <w:rsid w:val="005639E6"/>
    <w:rsid w:val="00563D0A"/>
    <w:rsid w:val="00564CB5"/>
    <w:rsid w:val="00565087"/>
    <w:rsid w:val="0056573F"/>
    <w:rsid w:val="005663AA"/>
    <w:rsid w:val="005679A1"/>
    <w:rsid w:val="00567DF4"/>
    <w:rsid w:val="00567F13"/>
    <w:rsid w:val="0057124B"/>
    <w:rsid w:val="005717D5"/>
    <w:rsid w:val="00571B3F"/>
    <w:rsid w:val="00572094"/>
    <w:rsid w:val="0057284B"/>
    <w:rsid w:val="00573169"/>
    <w:rsid w:val="00573EAC"/>
    <w:rsid w:val="005742DF"/>
    <w:rsid w:val="005767E3"/>
    <w:rsid w:val="00576FD7"/>
    <w:rsid w:val="00577C89"/>
    <w:rsid w:val="005804EE"/>
    <w:rsid w:val="00580B30"/>
    <w:rsid w:val="00580B41"/>
    <w:rsid w:val="005811C3"/>
    <w:rsid w:val="00581A82"/>
    <w:rsid w:val="00582B8C"/>
    <w:rsid w:val="00582CBF"/>
    <w:rsid w:val="005833A2"/>
    <w:rsid w:val="00583D7A"/>
    <w:rsid w:val="00585B7F"/>
    <w:rsid w:val="00586365"/>
    <w:rsid w:val="00587E01"/>
    <w:rsid w:val="005903EC"/>
    <w:rsid w:val="00590B7D"/>
    <w:rsid w:val="00591F5F"/>
    <w:rsid w:val="0059507F"/>
    <w:rsid w:val="00595612"/>
    <w:rsid w:val="00597168"/>
    <w:rsid w:val="005972E1"/>
    <w:rsid w:val="00597520"/>
    <w:rsid w:val="00597AF9"/>
    <w:rsid w:val="00597CA3"/>
    <w:rsid w:val="00597D29"/>
    <w:rsid w:val="005A01D6"/>
    <w:rsid w:val="005A2F12"/>
    <w:rsid w:val="005A2FB8"/>
    <w:rsid w:val="005A3702"/>
    <w:rsid w:val="005A386E"/>
    <w:rsid w:val="005A3B09"/>
    <w:rsid w:val="005A4BD5"/>
    <w:rsid w:val="005A4E4C"/>
    <w:rsid w:val="005A50D0"/>
    <w:rsid w:val="005A5D4B"/>
    <w:rsid w:val="005A63BA"/>
    <w:rsid w:val="005A6C9C"/>
    <w:rsid w:val="005A6EAA"/>
    <w:rsid w:val="005A76CF"/>
    <w:rsid w:val="005A7DE2"/>
    <w:rsid w:val="005B01C9"/>
    <w:rsid w:val="005B0645"/>
    <w:rsid w:val="005B1617"/>
    <w:rsid w:val="005B1E17"/>
    <w:rsid w:val="005B2915"/>
    <w:rsid w:val="005B2D96"/>
    <w:rsid w:val="005B39C4"/>
    <w:rsid w:val="005B3AD7"/>
    <w:rsid w:val="005B3BFB"/>
    <w:rsid w:val="005B4152"/>
    <w:rsid w:val="005B42F8"/>
    <w:rsid w:val="005B4512"/>
    <w:rsid w:val="005B53C1"/>
    <w:rsid w:val="005B5963"/>
    <w:rsid w:val="005B5FD4"/>
    <w:rsid w:val="005B65B1"/>
    <w:rsid w:val="005B7935"/>
    <w:rsid w:val="005B79D8"/>
    <w:rsid w:val="005C04AE"/>
    <w:rsid w:val="005C1F30"/>
    <w:rsid w:val="005C2003"/>
    <w:rsid w:val="005C2768"/>
    <w:rsid w:val="005C3451"/>
    <w:rsid w:val="005C4BB4"/>
    <w:rsid w:val="005C6585"/>
    <w:rsid w:val="005C6BFE"/>
    <w:rsid w:val="005D08A4"/>
    <w:rsid w:val="005D1BD4"/>
    <w:rsid w:val="005D2CB0"/>
    <w:rsid w:val="005D2FCF"/>
    <w:rsid w:val="005D3903"/>
    <w:rsid w:val="005D56F9"/>
    <w:rsid w:val="005D63C8"/>
    <w:rsid w:val="005D63DE"/>
    <w:rsid w:val="005D6E92"/>
    <w:rsid w:val="005D7CA3"/>
    <w:rsid w:val="005E0FFB"/>
    <w:rsid w:val="005E17B7"/>
    <w:rsid w:val="005E3058"/>
    <w:rsid w:val="005E3940"/>
    <w:rsid w:val="005E48C0"/>
    <w:rsid w:val="005E5447"/>
    <w:rsid w:val="005E567E"/>
    <w:rsid w:val="005E64B7"/>
    <w:rsid w:val="005E67C0"/>
    <w:rsid w:val="005E6C85"/>
    <w:rsid w:val="005E78CA"/>
    <w:rsid w:val="005E7EE7"/>
    <w:rsid w:val="005F096B"/>
    <w:rsid w:val="005F0E63"/>
    <w:rsid w:val="005F1B07"/>
    <w:rsid w:val="005F1DA0"/>
    <w:rsid w:val="005F3116"/>
    <w:rsid w:val="005F3218"/>
    <w:rsid w:val="005F45AB"/>
    <w:rsid w:val="005F4DF3"/>
    <w:rsid w:val="005F5671"/>
    <w:rsid w:val="005F5AF6"/>
    <w:rsid w:val="005F5C07"/>
    <w:rsid w:val="005F5FCD"/>
    <w:rsid w:val="005F6221"/>
    <w:rsid w:val="005F638D"/>
    <w:rsid w:val="005F672E"/>
    <w:rsid w:val="005F7D1E"/>
    <w:rsid w:val="0060088D"/>
    <w:rsid w:val="00600890"/>
    <w:rsid w:val="00601977"/>
    <w:rsid w:val="006029E9"/>
    <w:rsid w:val="00603623"/>
    <w:rsid w:val="006039C7"/>
    <w:rsid w:val="00603A4C"/>
    <w:rsid w:val="00603FCD"/>
    <w:rsid w:val="006053D3"/>
    <w:rsid w:val="006058F0"/>
    <w:rsid w:val="006059AF"/>
    <w:rsid w:val="00606479"/>
    <w:rsid w:val="006064C2"/>
    <w:rsid w:val="0060696D"/>
    <w:rsid w:val="00606AB3"/>
    <w:rsid w:val="006071F7"/>
    <w:rsid w:val="00607280"/>
    <w:rsid w:val="00607989"/>
    <w:rsid w:val="00607C1E"/>
    <w:rsid w:val="00610441"/>
    <w:rsid w:val="0061095D"/>
    <w:rsid w:val="00610F0B"/>
    <w:rsid w:val="00611566"/>
    <w:rsid w:val="00611BCE"/>
    <w:rsid w:val="0061208F"/>
    <w:rsid w:val="00612304"/>
    <w:rsid w:val="00613156"/>
    <w:rsid w:val="00613C63"/>
    <w:rsid w:val="006144E8"/>
    <w:rsid w:val="00614900"/>
    <w:rsid w:val="00614914"/>
    <w:rsid w:val="006152D6"/>
    <w:rsid w:val="00615FEA"/>
    <w:rsid w:val="0061614F"/>
    <w:rsid w:val="006167DB"/>
    <w:rsid w:val="006169D4"/>
    <w:rsid w:val="00617267"/>
    <w:rsid w:val="00617528"/>
    <w:rsid w:val="00620902"/>
    <w:rsid w:val="00620C71"/>
    <w:rsid w:val="006212B9"/>
    <w:rsid w:val="00621DDB"/>
    <w:rsid w:val="00622654"/>
    <w:rsid w:val="006229CB"/>
    <w:rsid w:val="00622F2A"/>
    <w:rsid w:val="00623204"/>
    <w:rsid w:val="00623702"/>
    <w:rsid w:val="006255AC"/>
    <w:rsid w:val="0062594C"/>
    <w:rsid w:val="00625B3C"/>
    <w:rsid w:val="006261F9"/>
    <w:rsid w:val="0062650A"/>
    <w:rsid w:val="0062676D"/>
    <w:rsid w:val="0062694F"/>
    <w:rsid w:val="0062713E"/>
    <w:rsid w:val="00627280"/>
    <w:rsid w:val="00627E3C"/>
    <w:rsid w:val="006301FB"/>
    <w:rsid w:val="0063027F"/>
    <w:rsid w:val="00631848"/>
    <w:rsid w:val="00631865"/>
    <w:rsid w:val="00633456"/>
    <w:rsid w:val="0063374E"/>
    <w:rsid w:val="00633E8A"/>
    <w:rsid w:val="00634568"/>
    <w:rsid w:val="00634969"/>
    <w:rsid w:val="00634BD7"/>
    <w:rsid w:val="00635910"/>
    <w:rsid w:val="00636149"/>
    <w:rsid w:val="00636588"/>
    <w:rsid w:val="00636795"/>
    <w:rsid w:val="00636B1D"/>
    <w:rsid w:val="00636E75"/>
    <w:rsid w:val="00637586"/>
    <w:rsid w:val="00637BA0"/>
    <w:rsid w:val="00641925"/>
    <w:rsid w:val="00642A34"/>
    <w:rsid w:val="00642E38"/>
    <w:rsid w:val="006438A7"/>
    <w:rsid w:val="006438C1"/>
    <w:rsid w:val="00643D84"/>
    <w:rsid w:val="00646D99"/>
    <w:rsid w:val="006518C5"/>
    <w:rsid w:val="00652E1C"/>
    <w:rsid w:val="0065334F"/>
    <w:rsid w:val="0065441A"/>
    <w:rsid w:val="00654B36"/>
    <w:rsid w:val="00654B4B"/>
    <w:rsid w:val="00655263"/>
    <w:rsid w:val="006555BC"/>
    <w:rsid w:val="0065563C"/>
    <w:rsid w:val="00656910"/>
    <w:rsid w:val="00656E1B"/>
    <w:rsid w:val="00657007"/>
    <w:rsid w:val="006571A1"/>
    <w:rsid w:val="00657DDA"/>
    <w:rsid w:val="00660140"/>
    <w:rsid w:val="0066146A"/>
    <w:rsid w:val="0066443C"/>
    <w:rsid w:val="00664C6F"/>
    <w:rsid w:val="006658BE"/>
    <w:rsid w:val="00665E0D"/>
    <w:rsid w:val="00665FD4"/>
    <w:rsid w:val="006666DF"/>
    <w:rsid w:val="00666968"/>
    <w:rsid w:val="00666D63"/>
    <w:rsid w:val="0066700B"/>
    <w:rsid w:val="006672E2"/>
    <w:rsid w:val="00667DF4"/>
    <w:rsid w:val="0067031D"/>
    <w:rsid w:val="00670508"/>
    <w:rsid w:val="0067091A"/>
    <w:rsid w:val="006709D3"/>
    <w:rsid w:val="006710D8"/>
    <w:rsid w:val="00671B90"/>
    <w:rsid w:val="0067215C"/>
    <w:rsid w:val="00673641"/>
    <w:rsid w:val="0067383F"/>
    <w:rsid w:val="006738AB"/>
    <w:rsid w:val="00673A69"/>
    <w:rsid w:val="0067482F"/>
    <w:rsid w:val="006750AA"/>
    <w:rsid w:val="0067646B"/>
    <w:rsid w:val="0067678F"/>
    <w:rsid w:val="00676FE4"/>
    <w:rsid w:val="00677310"/>
    <w:rsid w:val="0068000A"/>
    <w:rsid w:val="006800CE"/>
    <w:rsid w:val="00681471"/>
    <w:rsid w:val="00681C2F"/>
    <w:rsid w:val="00681E2C"/>
    <w:rsid w:val="00682482"/>
    <w:rsid w:val="00683655"/>
    <w:rsid w:val="006860D6"/>
    <w:rsid w:val="00686E33"/>
    <w:rsid w:val="006877AD"/>
    <w:rsid w:val="0068782B"/>
    <w:rsid w:val="00687867"/>
    <w:rsid w:val="00687BF2"/>
    <w:rsid w:val="00690223"/>
    <w:rsid w:val="00690B4C"/>
    <w:rsid w:val="00690CA5"/>
    <w:rsid w:val="00691862"/>
    <w:rsid w:val="006918A2"/>
    <w:rsid w:val="0069200D"/>
    <w:rsid w:val="00692C7C"/>
    <w:rsid w:val="00692D84"/>
    <w:rsid w:val="00692ED3"/>
    <w:rsid w:val="00692F3D"/>
    <w:rsid w:val="0069313E"/>
    <w:rsid w:val="00693B72"/>
    <w:rsid w:val="0069434A"/>
    <w:rsid w:val="00694C6C"/>
    <w:rsid w:val="00695CE3"/>
    <w:rsid w:val="0069614D"/>
    <w:rsid w:val="00697BE1"/>
    <w:rsid w:val="00697C16"/>
    <w:rsid w:val="006A0AEA"/>
    <w:rsid w:val="006A1181"/>
    <w:rsid w:val="006A23F5"/>
    <w:rsid w:val="006A24E4"/>
    <w:rsid w:val="006A2827"/>
    <w:rsid w:val="006A45BF"/>
    <w:rsid w:val="006A4C0C"/>
    <w:rsid w:val="006A5561"/>
    <w:rsid w:val="006A78AA"/>
    <w:rsid w:val="006A7A39"/>
    <w:rsid w:val="006B006A"/>
    <w:rsid w:val="006B03AF"/>
    <w:rsid w:val="006B12FD"/>
    <w:rsid w:val="006B2052"/>
    <w:rsid w:val="006B237E"/>
    <w:rsid w:val="006B25E9"/>
    <w:rsid w:val="006B2C56"/>
    <w:rsid w:val="006B2F69"/>
    <w:rsid w:val="006B3774"/>
    <w:rsid w:val="006B383B"/>
    <w:rsid w:val="006B4A15"/>
    <w:rsid w:val="006B4D71"/>
    <w:rsid w:val="006B5ADA"/>
    <w:rsid w:val="006B5D7D"/>
    <w:rsid w:val="006B68A1"/>
    <w:rsid w:val="006B6D5C"/>
    <w:rsid w:val="006B781F"/>
    <w:rsid w:val="006B784B"/>
    <w:rsid w:val="006C00EB"/>
    <w:rsid w:val="006C0668"/>
    <w:rsid w:val="006C06F5"/>
    <w:rsid w:val="006C10CA"/>
    <w:rsid w:val="006C199D"/>
    <w:rsid w:val="006C1CF4"/>
    <w:rsid w:val="006C3500"/>
    <w:rsid w:val="006C3F9D"/>
    <w:rsid w:val="006C4FBA"/>
    <w:rsid w:val="006C5A0D"/>
    <w:rsid w:val="006C5CE3"/>
    <w:rsid w:val="006C5D22"/>
    <w:rsid w:val="006C601A"/>
    <w:rsid w:val="006C66D8"/>
    <w:rsid w:val="006C67A1"/>
    <w:rsid w:val="006C6807"/>
    <w:rsid w:val="006C6D4D"/>
    <w:rsid w:val="006C6E6D"/>
    <w:rsid w:val="006C6FCB"/>
    <w:rsid w:val="006C7E6B"/>
    <w:rsid w:val="006D042F"/>
    <w:rsid w:val="006D14A7"/>
    <w:rsid w:val="006D15BA"/>
    <w:rsid w:val="006D1E24"/>
    <w:rsid w:val="006D29BE"/>
    <w:rsid w:val="006D2ACA"/>
    <w:rsid w:val="006D391C"/>
    <w:rsid w:val="006D40E2"/>
    <w:rsid w:val="006D426D"/>
    <w:rsid w:val="006D540C"/>
    <w:rsid w:val="006D60B3"/>
    <w:rsid w:val="006D7EE9"/>
    <w:rsid w:val="006D7FF2"/>
    <w:rsid w:val="006E098B"/>
    <w:rsid w:val="006E37B6"/>
    <w:rsid w:val="006E3C93"/>
    <w:rsid w:val="006E4558"/>
    <w:rsid w:val="006E4BE2"/>
    <w:rsid w:val="006E56AC"/>
    <w:rsid w:val="006E6A9E"/>
    <w:rsid w:val="006F1DE4"/>
    <w:rsid w:val="006F210F"/>
    <w:rsid w:val="006F2D96"/>
    <w:rsid w:val="006F306E"/>
    <w:rsid w:val="006F3319"/>
    <w:rsid w:val="006F4CB4"/>
    <w:rsid w:val="006F507E"/>
    <w:rsid w:val="006F5A6D"/>
    <w:rsid w:val="006F6A2C"/>
    <w:rsid w:val="006F6A95"/>
    <w:rsid w:val="006F6C93"/>
    <w:rsid w:val="006F6EE8"/>
    <w:rsid w:val="006F7056"/>
    <w:rsid w:val="006F70E3"/>
    <w:rsid w:val="006F73F3"/>
    <w:rsid w:val="00700375"/>
    <w:rsid w:val="00701947"/>
    <w:rsid w:val="00701BB6"/>
    <w:rsid w:val="00701C26"/>
    <w:rsid w:val="00701F4E"/>
    <w:rsid w:val="00702149"/>
    <w:rsid w:val="007024CA"/>
    <w:rsid w:val="007036D7"/>
    <w:rsid w:val="00703C1A"/>
    <w:rsid w:val="00703E7E"/>
    <w:rsid w:val="00705632"/>
    <w:rsid w:val="00705C11"/>
    <w:rsid w:val="00705C66"/>
    <w:rsid w:val="00706A59"/>
    <w:rsid w:val="00707001"/>
    <w:rsid w:val="007070BC"/>
    <w:rsid w:val="007108AA"/>
    <w:rsid w:val="007125E0"/>
    <w:rsid w:val="007132CD"/>
    <w:rsid w:val="007138F6"/>
    <w:rsid w:val="00714407"/>
    <w:rsid w:val="00714B10"/>
    <w:rsid w:val="00714B12"/>
    <w:rsid w:val="00715126"/>
    <w:rsid w:val="00715D50"/>
    <w:rsid w:val="007163F8"/>
    <w:rsid w:val="00716771"/>
    <w:rsid w:val="007204E2"/>
    <w:rsid w:val="00720E4F"/>
    <w:rsid w:val="00721322"/>
    <w:rsid w:val="00721368"/>
    <w:rsid w:val="00721D4C"/>
    <w:rsid w:val="00722348"/>
    <w:rsid w:val="00722EF5"/>
    <w:rsid w:val="00723681"/>
    <w:rsid w:val="00723A87"/>
    <w:rsid w:val="00724661"/>
    <w:rsid w:val="007259AD"/>
    <w:rsid w:val="0072608F"/>
    <w:rsid w:val="007263E8"/>
    <w:rsid w:val="00730451"/>
    <w:rsid w:val="007306EA"/>
    <w:rsid w:val="0073117E"/>
    <w:rsid w:val="00731363"/>
    <w:rsid w:val="007317FE"/>
    <w:rsid w:val="00731B6D"/>
    <w:rsid w:val="00731CB3"/>
    <w:rsid w:val="007321A8"/>
    <w:rsid w:val="00732D85"/>
    <w:rsid w:val="007332DF"/>
    <w:rsid w:val="00733A0B"/>
    <w:rsid w:val="007346DE"/>
    <w:rsid w:val="0073477A"/>
    <w:rsid w:val="00734A5B"/>
    <w:rsid w:val="007351B9"/>
    <w:rsid w:val="0073526F"/>
    <w:rsid w:val="00735A82"/>
    <w:rsid w:val="0073730A"/>
    <w:rsid w:val="007404CB"/>
    <w:rsid w:val="00740D3D"/>
    <w:rsid w:val="0074101A"/>
    <w:rsid w:val="00741300"/>
    <w:rsid w:val="00741541"/>
    <w:rsid w:val="00741661"/>
    <w:rsid w:val="007423B0"/>
    <w:rsid w:val="00742791"/>
    <w:rsid w:val="00742E81"/>
    <w:rsid w:val="00742FDB"/>
    <w:rsid w:val="00743228"/>
    <w:rsid w:val="0074368B"/>
    <w:rsid w:val="00743DD9"/>
    <w:rsid w:val="007448B6"/>
    <w:rsid w:val="00744E76"/>
    <w:rsid w:val="00745547"/>
    <w:rsid w:val="00746102"/>
    <w:rsid w:val="00746B2C"/>
    <w:rsid w:val="00747690"/>
    <w:rsid w:val="007501C1"/>
    <w:rsid w:val="00750386"/>
    <w:rsid w:val="00750783"/>
    <w:rsid w:val="007508E3"/>
    <w:rsid w:val="00750938"/>
    <w:rsid w:val="00750DAC"/>
    <w:rsid w:val="007512D2"/>
    <w:rsid w:val="007530E2"/>
    <w:rsid w:val="007550D4"/>
    <w:rsid w:val="00755304"/>
    <w:rsid w:val="00757917"/>
    <w:rsid w:val="00757D40"/>
    <w:rsid w:val="00757DBF"/>
    <w:rsid w:val="00760755"/>
    <w:rsid w:val="00760F33"/>
    <w:rsid w:val="00760F5E"/>
    <w:rsid w:val="0076158F"/>
    <w:rsid w:val="00761A52"/>
    <w:rsid w:val="00761EE7"/>
    <w:rsid w:val="00762559"/>
    <w:rsid w:val="007632D1"/>
    <w:rsid w:val="00763AFA"/>
    <w:rsid w:val="00765EA6"/>
    <w:rsid w:val="00765EF5"/>
    <w:rsid w:val="00766CF3"/>
    <w:rsid w:val="00766F4C"/>
    <w:rsid w:val="00770960"/>
    <w:rsid w:val="007714FD"/>
    <w:rsid w:val="0077262A"/>
    <w:rsid w:val="00772A4B"/>
    <w:rsid w:val="00772BBF"/>
    <w:rsid w:val="00773197"/>
    <w:rsid w:val="00773E87"/>
    <w:rsid w:val="00775373"/>
    <w:rsid w:val="007759F2"/>
    <w:rsid w:val="00775D41"/>
    <w:rsid w:val="00776402"/>
    <w:rsid w:val="00776859"/>
    <w:rsid w:val="00776914"/>
    <w:rsid w:val="00780717"/>
    <w:rsid w:val="0078107D"/>
    <w:rsid w:val="0078116B"/>
    <w:rsid w:val="00781C38"/>
    <w:rsid w:val="00781D12"/>
    <w:rsid w:val="00781F0F"/>
    <w:rsid w:val="007830F4"/>
    <w:rsid w:val="00783438"/>
    <w:rsid w:val="00783DCA"/>
    <w:rsid w:val="00783EE8"/>
    <w:rsid w:val="00783F33"/>
    <w:rsid w:val="0078497D"/>
    <w:rsid w:val="00784D0A"/>
    <w:rsid w:val="0078727C"/>
    <w:rsid w:val="0078736D"/>
    <w:rsid w:val="00787AB5"/>
    <w:rsid w:val="00790782"/>
    <w:rsid w:val="00791718"/>
    <w:rsid w:val="00791A91"/>
    <w:rsid w:val="00791BE8"/>
    <w:rsid w:val="0079213D"/>
    <w:rsid w:val="00793B67"/>
    <w:rsid w:val="0079428D"/>
    <w:rsid w:val="00796BCB"/>
    <w:rsid w:val="00796D47"/>
    <w:rsid w:val="00797E07"/>
    <w:rsid w:val="007A0894"/>
    <w:rsid w:val="007A2156"/>
    <w:rsid w:val="007A24DD"/>
    <w:rsid w:val="007A3329"/>
    <w:rsid w:val="007A4648"/>
    <w:rsid w:val="007A4FB8"/>
    <w:rsid w:val="007A6A6E"/>
    <w:rsid w:val="007A6CA3"/>
    <w:rsid w:val="007A7C61"/>
    <w:rsid w:val="007A7D8E"/>
    <w:rsid w:val="007B02C7"/>
    <w:rsid w:val="007B18D8"/>
    <w:rsid w:val="007B2066"/>
    <w:rsid w:val="007B24F2"/>
    <w:rsid w:val="007B2646"/>
    <w:rsid w:val="007B2B97"/>
    <w:rsid w:val="007B3499"/>
    <w:rsid w:val="007B3A8A"/>
    <w:rsid w:val="007B3BDE"/>
    <w:rsid w:val="007B3D86"/>
    <w:rsid w:val="007B4095"/>
    <w:rsid w:val="007B4ED3"/>
    <w:rsid w:val="007B58DC"/>
    <w:rsid w:val="007B5D33"/>
    <w:rsid w:val="007B5E53"/>
    <w:rsid w:val="007B60C5"/>
    <w:rsid w:val="007B6B60"/>
    <w:rsid w:val="007C00DF"/>
    <w:rsid w:val="007C0458"/>
    <w:rsid w:val="007C07A1"/>
    <w:rsid w:val="007C095F"/>
    <w:rsid w:val="007C0A69"/>
    <w:rsid w:val="007C0C8F"/>
    <w:rsid w:val="007C12A1"/>
    <w:rsid w:val="007C1633"/>
    <w:rsid w:val="007C1CB9"/>
    <w:rsid w:val="007C31BD"/>
    <w:rsid w:val="007C3B86"/>
    <w:rsid w:val="007C42DE"/>
    <w:rsid w:val="007C5C6C"/>
    <w:rsid w:val="007C79B0"/>
    <w:rsid w:val="007C7F57"/>
    <w:rsid w:val="007D014C"/>
    <w:rsid w:val="007D01F5"/>
    <w:rsid w:val="007D132D"/>
    <w:rsid w:val="007D136D"/>
    <w:rsid w:val="007D157B"/>
    <w:rsid w:val="007D19E8"/>
    <w:rsid w:val="007D2075"/>
    <w:rsid w:val="007D3548"/>
    <w:rsid w:val="007D3948"/>
    <w:rsid w:val="007D4662"/>
    <w:rsid w:val="007D5590"/>
    <w:rsid w:val="007D61FF"/>
    <w:rsid w:val="007D6D57"/>
    <w:rsid w:val="007E030C"/>
    <w:rsid w:val="007E0375"/>
    <w:rsid w:val="007E1CA9"/>
    <w:rsid w:val="007E28FA"/>
    <w:rsid w:val="007E2FB0"/>
    <w:rsid w:val="007E36AE"/>
    <w:rsid w:val="007E58F1"/>
    <w:rsid w:val="007E5C5F"/>
    <w:rsid w:val="007E5ED6"/>
    <w:rsid w:val="007E611E"/>
    <w:rsid w:val="007E72BF"/>
    <w:rsid w:val="007E7B83"/>
    <w:rsid w:val="007F0089"/>
    <w:rsid w:val="007F1792"/>
    <w:rsid w:val="007F1E2A"/>
    <w:rsid w:val="007F1E88"/>
    <w:rsid w:val="007F2175"/>
    <w:rsid w:val="007F23CD"/>
    <w:rsid w:val="007F2619"/>
    <w:rsid w:val="007F357D"/>
    <w:rsid w:val="007F431D"/>
    <w:rsid w:val="007F4B4B"/>
    <w:rsid w:val="007F50AF"/>
    <w:rsid w:val="007F52F7"/>
    <w:rsid w:val="007F5FEB"/>
    <w:rsid w:val="007F6ADC"/>
    <w:rsid w:val="007F6E54"/>
    <w:rsid w:val="007F6ECB"/>
    <w:rsid w:val="007F79EB"/>
    <w:rsid w:val="00800388"/>
    <w:rsid w:val="00802310"/>
    <w:rsid w:val="00802331"/>
    <w:rsid w:val="008023D9"/>
    <w:rsid w:val="00802510"/>
    <w:rsid w:val="00802794"/>
    <w:rsid w:val="00802830"/>
    <w:rsid w:val="008028A4"/>
    <w:rsid w:val="008039E6"/>
    <w:rsid w:val="00803C05"/>
    <w:rsid w:val="0080412F"/>
    <w:rsid w:val="00804715"/>
    <w:rsid w:val="00804E10"/>
    <w:rsid w:val="00805081"/>
    <w:rsid w:val="00806615"/>
    <w:rsid w:val="00806BC0"/>
    <w:rsid w:val="008078E3"/>
    <w:rsid w:val="00807BD6"/>
    <w:rsid w:val="00807FBA"/>
    <w:rsid w:val="008113C2"/>
    <w:rsid w:val="0081167B"/>
    <w:rsid w:val="0081187B"/>
    <w:rsid w:val="00811983"/>
    <w:rsid w:val="00811A64"/>
    <w:rsid w:val="008125E2"/>
    <w:rsid w:val="00814328"/>
    <w:rsid w:val="008147F1"/>
    <w:rsid w:val="00814DA0"/>
    <w:rsid w:val="008154D2"/>
    <w:rsid w:val="00815F87"/>
    <w:rsid w:val="00816D03"/>
    <w:rsid w:val="00817790"/>
    <w:rsid w:val="00820DE9"/>
    <w:rsid w:val="00820F87"/>
    <w:rsid w:val="00821895"/>
    <w:rsid w:val="00821D64"/>
    <w:rsid w:val="008225BB"/>
    <w:rsid w:val="0082261C"/>
    <w:rsid w:val="0082298A"/>
    <w:rsid w:val="00822E9B"/>
    <w:rsid w:val="00823B79"/>
    <w:rsid w:val="00824542"/>
    <w:rsid w:val="008251C5"/>
    <w:rsid w:val="00825439"/>
    <w:rsid w:val="00826031"/>
    <w:rsid w:val="00826F87"/>
    <w:rsid w:val="00827029"/>
    <w:rsid w:val="0083026E"/>
    <w:rsid w:val="008313F3"/>
    <w:rsid w:val="00832540"/>
    <w:rsid w:val="00832AA0"/>
    <w:rsid w:val="00832D4D"/>
    <w:rsid w:val="00833B39"/>
    <w:rsid w:val="00833E7C"/>
    <w:rsid w:val="0083540D"/>
    <w:rsid w:val="00835BC1"/>
    <w:rsid w:val="00836DEC"/>
    <w:rsid w:val="00837188"/>
    <w:rsid w:val="00837610"/>
    <w:rsid w:val="00837983"/>
    <w:rsid w:val="008417E7"/>
    <w:rsid w:val="00841AE5"/>
    <w:rsid w:val="00841E59"/>
    <w:rsid w:val="00841FA0"/>
    <w:rsid w:val="0084215F"/>
    <w:rsid w:val="008427EC"/>
    <w:rsid w:val="008434EE"/>
    <w:rsid w:val="00843CE1"/>
    <w:rsid w:val="00844CF7"/>
    <w:rsid w:val="0084529C"/>
    <w:rsid w:val="00845957"/>
    <w:rsid w:val="00845D8E"/>
    <w:rsid w:val="00846CAC"/>
    <w:rsid w:val="00846E17"/>
    <w:rsid w:val="00847527"/>
    <w:rsid w:val="00847D93"/>
    <w:rsid w:val="00850012"/>
    <w:rsid w:val="00850220"/>
    <w:rsid w:val="008509E0"/>
    <w:rsid w:val="008512AA"/>
    <w:rsid w:val="00851312"/>
    <w:rsid w:val="00851AF0"/>
    <w:rsid w:val="00851FA7"/>
    <w:rsid w:val="008525ED"/>
    <w:rsid w:val="00852627"/>
    <w:rsid w:val="008529E5"/>
    <w:rsid w:val="0085432D"/>
    <w:rsid w:val="00855BAC"/>
    <w:rsid w:val="00856200"/>
    <w:rsid w:val="00856BCF"/>
    <w:rsid w:val="00856FDE"/>
    <w:rsid w:val="00857BF1"/>
    <w:rsid w:val="00860884"/>
    <w:rsid w:val="00860DF2"/>
    <w:rsid w:val="00861BB1"/>
    <w:rsid w:val="00861E16"/>
    <w:rsid w:val="00862674"/>
    <w:rsid w:val="008632EB"/>
    <w:rsid w:val="00863406"/>
    <w:rsid w:val="00864B0E"/>
    <w:rsid w:val="00864C99"/>
    <w:rsid w:val="0086508C"/>
    <w:rsid w:val="00866920"/>
    <w:rsid w:val="008672F3"/>
    <w:rsid w:val="0086779F"/>
    <w:rsid w:val="00871F7B"/>
    <w:rsid w:val="008725FB"/>
    <w:rsid w:val="00873135"/>
    <w:rsid w:val="00873A66"/>
    <w:rsid w:val="00873F39"/>
    <w:rsid w:val="00874761"/>
    <w:rsid w:val="00875C97"/>
    <w:rsid w:val="00875D74"/>
    <w:rsid w:val="008768CA"/>
    <w:rsid w:val="00877C19"/>
    <w:rsid w:val="00877E1B"/>
    <w:rsid w:val="00880559"/>
    <w:rsid w:val="00881314"/>
    <w:rsid w:val="0088155A"/>
    <w:rsid w:val="00883A48"/>
    <w:rsid w:val="00883C6E"/>
    <w:rsid w:val="00884E88"/>
    <w:rsid w:val="008858FE"/>
    <w:rsid w:val="00885B8B"/>
    <w:rsid w:val="00887A0C"/>
    <w:rsid w:val="00887DA8"/>
    <w:rsid w:val="00891000"/>
    <w:rsid w:val="00894D40"/>
    <w:rsid w:val="008969D2"/>
    <w:rsid w:val="00896C7D"/>
    <w:rsid w:val="00896CB2"/>
    <w:rsid w:val="00897E0C"/>
    <w:rsid w:val="008A00BC"/>
    <w:rsid w:val="008A086B"/>
    <w:rsid w:val="008A0CAE"/>
    <w:rsid w:val="008A0D70"/>
    <w:rsid w:val="008A139D"/>
    <w:rsid w:val="008A1A94"/>
    <w:rsid w:val="008A1E3D"/>
    <w:rsid w:val="008A3775"/>
    <w:rsid w:val="008A3B55"/>
    <w:rsid w:val="008A3F8B"/>
    <w:rsid w:val="008A48E0"/>
    <w:rsid w:val="008A4CE1"/>
    <w:rsid w:val="008A5140"/>
    <w:rsid w:val="008A5838"/>
    <w:rsid w:val="008A60C6"/>
    <w:rsid w:val="008A6B57"/>
    <w:rsid w:val="008A7536"/>
    <w:rsid w:val="008A7640"/>
    <w:rsid w:val="008B005D"/>
    <w:rsid w:val="008B09E1"/>
    <w:rsid w:val="008B0CE4"/>
    <w:rsid w:val="008B1445"/>
    <w:rsid w:val="008B48A6"/>
    <w:rsid w:val="008B564B"/>
    <w:rsid w:val="008B7D96"/>
    <w:rsid w:val="008C019C"/>
    <w:rsid w:val="008C02FC"/>
    <w:rsid w:val="008C15FE"/>
    <w:rsid w:val="008C18E7"/>
    <w:rsid w:val="008C1B2A"/>
    <w:rsid w:val="008C26F3"/>
    <w:rsid w:val="008C2B8D"/>
    <w:rsid w:val="008C2E5F"/>
    <w:rsid w:val="008C37FF"/>
    <w:rsid w:val="008C5880"/>
    <w:rsid w:val="008C5973"/>
    <w:rsid w:val="008C5F96"/>
    <w:rsid w:val="008C6B4D"/>
    <w:rsid w:val="008D06DD"/>
    <w:rsid w:val="008D0C24"/>
    <w:rsid w:val="008D0E8C"/>
    <w:rsid w:val="008D10AE"/>
    <w:rsid w:val="008D1FFF"/>
    <w:rsid w:val="008D2118"/>
    <w:rsid w:val="008D2615"/>
    <w:rsid w:val="008D30D5"/>
    <w:rsid w:val="008D386F"/>
    <w:rsid w:val="008D39A9"/>
    <w:rsid w:val="008D3F83"/>
    <w:rsid w:val="008D41B0"/>
    <w:rsid w:val="008D447F"/>
    <w:rsid w:val="008D5BCC"/>
    <w:rsid w:val="008D5C84"/>
    <w:rsid w:val="008D5D79"/>
    <w:rsid w:val="008D60F2"/>
    <w:rsid w:val="008D6CF4"/>
    <w:rsid w:val="008D72D9"/>
    <w:rsid w:val="008E0098"/>
    <w:rsid w:val="008E1343"/>
    <w:rsid w:val="008E2417"/>
    <w:rsid w:val="008E3162"/>
    <w:rsid w:val="008E39F0"/>
    <w:rsid w:val="008E4A4B"/>
    <w:rsid w:val="008E50C6"/>
    <w:rsid w:val="008E634D"/>
    <w:rsid w:val="008E7275"/>
    <w:rsid w:val="008E74A1"/>
    <w:rsid w:val="008E7798"/>
    <w:rsid w:val="008E7CEC"/>
    <w:rsid w:val="008F0525"/>
    <w:rsid w:val="008F109E"/>
    <w:rsid w:val="008F26C6"/>
    <w:rsid w:val="008F358D"/>
    <w:rsid w:val="008F37D0"/>
    <w:rsid w:val="008F3FE8"/>
    <w:rsid w:val="008F5100"/>
    <w:rsid w:val="008F525D"/>
    <w:rsid w:val="008F5E19"/>
    <w:rsid w:val="008F65AB"/>
    <w:rsid w:val="008F6716"/>
    <w:rsid w:val="008F6805"/>
    <w:rsid w:val="008F68EF"/>
    <w:rsid w:val="008F69B6"/>
    <w:rsid w:val="008F70A1"/>
    <w:rsid w:val="008F71B2"/>
    <w:rsid w:val="008F7D7C"/>
    <w:rsid w:val="00900315"/>
    <w:rsid w:val="009004A3"/>
    <w:rsid w:val="009012DD"/>
    <w:rsid w:val="00901784"/>
    <w:rsid w:val="00901AF1"/>
    <w:rsid w:val="00901C14"/>
    <w:rsid w:val="00901FAD"/>
    <w:rsid w:val="0090271F"/>
    <w:rsid w:val="00902BE0"/>
    <w:rsid w:val="00903092"/>
    <w:rsid w:val="009037F2"/>
    <w:rsid w:val="00905096"/>
    <w:rsid w:val="009050E7"/>
    <w:rsid w:val="0090699A"/>
    <w:rsid w:val="009078B3"/>
    <w:rsid w:val="00910517"/>
    <w:rsid w:val="00910FDD"/>
    <w:rsid w:val="00911134"/>
    <w:rsid w:val="009113E8"/>
    <w:rsid w:val="0091169E"/>
    <w:rsid w:val="009120F1"/>
    <w:rsid w:val="0091298E"/>
    <w:rsid w:val="00912CE7"/>
    <w:rsid w:val="0091339C"/>
    <w:rsid w:val="009133F2"/>
    <w:rsid w:val="00914E3F"/>
    <w:rsid w:val="009150D6"/>
    <w:rsid w:val="009152A8"/>
    <w:rsid w:val="00915934"/>
    <w:rsid w:val="00916937"/>
    <w:rsid w:val="0091792B"/>
    <w:rsid w:val="009179C7"/>
    <w:rsid w:val="00917BC6"/>
    <w:rsid w:val="00920264"/>
    <w:rsid w:val="00920A0B"/>
    <w:rsid w:val="009211CE"/>
    <w:rsid w:val="00921B1F"/>
    <w:rsid w:val="00923C07"/>
    <w:rsid w:val="0092452C"/>
    <w:rsid w:val="009246B4"/>
    <w:rsid w:val="00924D13"/>
    <w:rsid w:val="009263B0"/>
    <w:rsid w:val="00930210"/>
    <w:rsid w:val="00930967"/>
    <w:rsid w:val="00930A06"/>
    <w:rsid w:val="00930F8C"/>
    <w:rsid w:val="00931D21"/>
    <w:rsid w:val="00932D94"/>
    <w:rsid w:val="0093362B"/>
    <w:rsid w:val="00934D4A"/>
    <w:rsid w:val="00936D97"/>
    <w:rsid w:val="00937020"/>
    <w:rsid w:val="0093765C"/>
    <w:rsid w:val="00942130"/>
    <w:rsid w:val="00942C34"/>
    <w:rsid w:val="00942EC2"/>
    <w:rsid w:val="00943150"/>
    <w:rsid w:val="00943ACC"/>
    <w:rsid w:val="00944787"/>
    <w:rsid w:val="009455E8"/>
    <w:rsid w:val="00946705"/>
    <w:rsid w:val="00950455"/>
    <w:rsid w:val="00950699"/>
    <w:rsid w:val="00951932"/>
    <w:rsid w:val="0095256D"/>
    <w:rsid w:val="00954944"/>
    <w:rsid w:val="00954A08"/>
    <w:rsid w:val="009553B3"/>
    <w:rsid w:val="009557D1"/>
    <w:rsid w:val="00955A98"/>
    <w:rsid w:val="00955D6D"/>
    <w:rsid w:val="00957888"/>
    <w:rsid w:val="0095796A"/>
    <w:rsid w:val="00957BD4"/>
    <w:rsid w:val="00960A33"/>
    <w:rsid w:val="00960FAE"/>
    <w:rsid w:val="00961B32"/>
    <w:rsid w:val="009639F1"/>
    <w:rsid w:val="00963EC7"/>
    <w:rsid w:val="009649A2"/>
    <w:rsid w:val="009653EA"/>
    <w:rsid w:val="0096580B"/>
    <w:rsid w:val="00967202"/>
    <w:rsid w:val="00970175"/>
    <w:rsid w:val="00970D14"/>
    <w:rsid w:val="0097181D"/>
    <w:rsid w:val="00971DF1"/>
    <w:rsid w:val="00972DFB"/>
    <w:rsid w:val="0097319D"/>
    <w:rsid w:val="00974BB0"/>
    <w:rsid w:val="00975090"/>
    <w:rsid w:val="00976939"/>
    <w:rsid w:val="00980232"/>
    <w:rsid w:val="00980767"/>
    <w:rsid w:val="00980EF0"/>
    <w:rsid w:val="009810F8"/>
    <w:rsid w:val="009825F9"/>
    <w:rsid w:val="0098274E"/>
    <w:rsid w:val="00983027"/>
    <w:rsid w:val="0098333C"/>
    <w:rsid w:val="0098343C"/>
    <w:rsid w:val="00984942"/>
    <w:rsid w:val="00984C55"/>
    <w:rsid w:val="00985469"/>
    <w:rsid w:val="00986394"/>
    <w:rsid w:val="009868E2"/>
    <w:rsid w:val="00987C28"/>
    <w:rsid w:val="00987F35"/>
    <w:rsid w:val="0099012B"/>
    <w:rsid w:val="00990D19"/>
    <w:rsid w:val="00992592"/>
    <w:rsid w:val="00992A63"/>
    <w:rsid w:val="00992D71"/>
    <w:rsid w:val="009931D9"/>
    <w:rsid w:val="00993455"/>
    <w:rsid w:val="009939EA"/>
    <w:rsid w:val="00994CD6"/>
    <w:rsid w:val="00995099"/>
    <w:rsid w:val="00995229"/>
    <w:rsid w:val="00995BC1"/>
    <w:rsid w:val="00996EA4"/>
    <w:rsid w:val="00997174"/>
    <w:rsid w:val="0099720F"/>
    <w:rsid w:val="009974FC"/>
    <w:rsid w:val="009A18DD"/>
    <w:rsid w:val="009A2661"/>
    <w:rsid w:val="009A299A"/>
    <w:rsid w:val="009A3837"/>
    <w:rsid w:val="009A51B6"/>
    <w:rsid w:val="009A5436"/>
    <w:rsid w:val="009A5488"/>
    <w:rsid w:val="009A6A95"/>
    <w:rsid w:val="009A6DA4"/>
    <w:rsid w:val="009A7B12"/>
    <w:rsid w:val="009B07CD"/>
    <w:rsid w:val="009B089D"/>
    <w:rsid w:val="009B1DE9"/>
    <w:rsid w:val="009B2733"/>
    <w:rsid w:val="009B291B"/>
    <w:rsid w:val="009B3A40"/>
    <w:rsid w:val="009B3AFA"/>
    <w:rsid w:val="009B3DA2"/>
    <w:rsid w:val="009B54D4"/>
    <w:rsid w:val="009B567F"/>
    <w:rsid w:val="009B58B4"/>
    <w:rsid w:val="009B5A3D"/>
    <w:rsid w:val="009B5C3D"/>
    <w:rsid w:val="009B62C1"/>
    <w:rsid w:val="009B6971"/>
    <w:rsid w:val="009B6C88"/>
    <w:rsid w:val="009B6E42"/>
    <w:rsid w:val="009B6E59"/>
    <w:rsid w:val="009B70C3"/>
    <w:rsid w:val="009B70E6"/>
    <w:rsid w:val="009B7283"/>
    <w:rsid w:val="009B74A8"/>
    <w:rsid w:val="009B7A25"/>
    <w:rsid w:val="009B7C77"/>
    <w:rsid w:val="009C0621"/>
    <w:rsid w:val="009C11D8"/>
    <w:rsid w:val="009C171A"/>
    <w:rsid w:val="009C2013"/>
    <w:rsid w:val="009C2034"/>
    <w:rsid w:val="009C3EFE"/>
    <w:rsid w:val="009C4AEA"/>
    <w:rsid w:val="009C4BEF"/>
    <w:rsid w:val="009C4E97"/>
    <w:rsid w:val="009C5305"/>
    <w:rsid w:val="009C5EE5"/>
    <w:rsid w:val="009C695A"/>
    <w:rsid w:val="009C6C70"/>
    <w:rsid w:val="009C776C"/>
    <w:rsid w:val="009C7871"/>
    <w:rsid w:val="009C7E72"/>
    <w:rsid w:val="009D036E"/>
    <w:rsid w:val="009D0426"/>
    <w:rsid w:val="009D0928"/>
    <w:rsid w:val="009D1BD2"/>
    <w:rsid w:val="009D36EF"/>
    <w:rsid w:val="009D3F00"/>
    <w:rsid w:val="009D464A"/>
    <w:rsid w:val="009D5EFC"/>
    <w:rsid w:val="009D6655"/>
    <w:rsid w:val="009D6EF6"/>
    <w:rsid w:val="009D73F4"/>
    <w:rsid w:val="009D7C1F"/>
    <w:rsid w:val="009E0645"/>
    <w:rsid w:val="009E0F80"/>
    <w:rsid w:val="009E13FC"/>
    <w:rsid w:val="009E16D4"/>
    <w:rsid w:val="009E229B"/>
    <w:rsid w:val="009E35A7"/>
    <w:rsid w:val="009E3B84"/>
    <w:rsid w:val="009E4E10"/>
    <w:rsid w:val="009E5724"/>
    <w:rsid w:val="009E654E"/>
    <w:rsid w:val="009E68E4"/>
    <w:rsid w:val="009E75E5"/>
    <w:rsid w:val="009E7A15"/>
    <w:rsid w:val="009F0055"/>
    <w:rsid w:val="009F0F42"/>
    <w:rsid w:val="009F0F58"/>
    <w:rsid w:val="009F0F91"/>
    <w:rsid w:val="009F21E0"/>
    <w:rsid w:val="009F25CD"/>
    <w:rsid w:val="009F28E8"/>
    <w:rsid w:val="009F322D"/>
    <w:rsid w:val="009F3B33"/>
    <w:rsid w:val="009F4433"/>
    <w:rsid w:val="009F4F2C"/>
    <w:rsid w:val="009F540E"/>
    <w:rsid w:val="009F5862"/>
    <w:rsid w:val="009F58B7"/>
    <w:rsid w:val="009F5D6B"/>
    <w:rsid w:val="009F700F"/>
    <w:rsid w:val="009F7D56"/>
    <w:rsid w:val="00A00EC0"/>
    <w:rsid w:val="00A0106E"/>
    <w:rsid w:val="00A016C2"/>
    <w:rsid w:val="00A01D45"/>
    <w:rsid w:val="00A01EE5"/>
    <w:rsid w:val="00A02169"/>
    <w:rsid w:val="00A024A0"/>
    <w:rsid w:val="00A02D68"/>
    <w:rsid w:val="00A03040"/>
    <w:rsid w:val="00A0378C"/>
    <w:rsid w:val="00A05C04"/>
    <w:rsid w:val="00A10F02"/>
    <w:rsid w:val="00A111A6"/>
    <w:rsid w:val="00A119F0"/>
    <w:rsid w:val="00A12166"/>
    <w:rsid w:val="00A1266B"/>
    <w:rsid w:val="00A12730"/>
    <w:rsid w:val="00A1426E"/>
    <w:rsid w:val="00A146ED"/>
    <w:rsid w:val="00A155C9"/>
    <w:rsid w:val="00A15B3B"/>
    <w:rsid w:val="00A15E8B"/>
    <w:rsid w:val="00A16026"/>
    <w:rsid w:val="00A16A1E"/>
    <w:rsid w:val="00A16CF6"/>
    <w:rsid w:val="00A16D92"/>
    <w:rsid w:val="00A175BE"/>
    <w:rsid w:val="00A1799B"/>
    <w:rsid w:val="00A202B0"/>
    <w:rsid w:val="00A20B6B"/>
    <w:rsid w:val="00A21D31"/>
    <w:rsid w:val="00A22294"/>
    <w:rsid w:val="00A25C12"/>
    <w:rsid w:val="00A26122"/>
    <w:rsid w:val="00A266A9"/>
    <w:rsid w:val="00A26C57"/>
    <w:rsid w:val="00A26DE5"/>
    <w:rsid w:val="00A27024"/>
    <w:rsid w:val="00A27C5E"/>
    <w:rsid w:val="00A30675"/>
    <w:rsid w:val="00A316A8"/>
    <w:rsid w:val="00A32446"/>
    <w:rsid w:val="00A335F3"/>
    <w:rsid w:val="00A33738"/>
    <w:rsid w:val="00A33AE6"/>
    <w:rsid w:val="00A3513D"/>
    <w:rsid w:val="00A37B63"/>
    <w:rsid w:val="00A40E3B"/>
    <w:rsid w:val="00A42A35"/>
    <w:rsid w:val="00A43B21"/>
    <w:rsid w:val="00A43E12"/>
    <w:rsid w:val="00A44A3A"/>
    <w:rsid w:val="00A454D0"/>
    <w:rsid w:val="00A45EDA"/>
    <w:rsid w:val="00A47170"/>
    <w:rsid w:val="00A47D14"/>
    <w:rsid w:val="00A50247"/>
    <w:rsid w:val="00A5355A"/>
    <w:rsid w:val="00A53724"/>
    <w:rsid w:val="00A5396D"/>
    <w:rsid w:val="00A539AF"/>
    <w:rsid w:val="00A53B9E"/>
    <w:rsid w:val="00A53F26"/>
    <w:rsid w:val="00A54239"/>
    <w:rsid w:val="00A543F4"/>
    <w:rsid w:val="00A54811"/>
    <w:rsid w:val="00A54F2B"/>
    <w:rsid w:val="00A555DF"/>
    <w:rsid w:val="00A55A56"/>
    <w:rsid w:val="00A567C1"/>
    <w:rsid w:val="00A56B1F"/>
    <w:rsid w:val="00A57585"/>
    <w:rsid w:val="00A577E1"/>
    <w:rsid w:val="00A60ED5"/>
    <w:rsid w:val="00A611E5"/>
    <w:rsid w:val="00A62320"/>
    <w:rsid w:val="00A63D42"/>
    <w:rsid w:val="00A64195"/>
    <w:rsid w:val="00A648BC"/>
    <w:rsid w:val="00A64DB5"/>
    <w:rsid w:val="00A65691"/>
    <w:rsid w:val="00A659CD"/>
    <w:rsid w:val="00A65C2D"/>
    <w:rsid w:val="00A65CA3"/>
    <w:rsid w:val="00A66D19"/>
    <w:rsid w:val="00A67592"/>
    <w:rsid w:val="00A67A05"/>
    <w:rsid w:val="00A67EC2"/>
    <w:rsid w:val="00A70D84"/>
    <w:rsid w:val="00A70FDE"/>
    <w:rsid w:val="00A71659"/>
    <w:rsid w:val="00A71F9E"/>
    <w:rsid w:val="00A72548"/>
    <w:rsid w:val="00A728F9"/>
    <w:rsid w:val="00A72995"/>
    <w:rsid w:val="00A73BA5"/>
    <w:rsid w:val="00A743DD"/>
    <w:rsid w:val="00A74E7D"/>
    <w:rsid w:val="00A75326"/>
    <w:rsid w:val="00A75551"/>
    <w:rsid w:val="00A756D9"/>
    <w:rsid w:val="00A768DC"/>
    <w:rsid w:val="00A76FE6"/>
    <w:rsid w:val="00A77261"/>
    <w:rsid w:val="00A7761E"/>
    <w:rsid w:val="00A77838"/>
    <w:rsid w:val="00A77971"/>
    <w:rsid w:val="00A77A87"/>
    <w:rsid w:val="00A77D85"/>
    <w:rsid w:val="00A81D4A"/>
    <w:rsid w:val="00A81E00"/>
    <w:rsid w:val="00A8223F"/>
    <w:rsid w:val="00A822C0"/>
    <w:rsid w:val="00A822F8"/>
    <w:rsid w:val="00A82346"/>
    <w:rsid w:val="00A83066"/>
    <w:rsid w:val="00A838CE"/>
    <w:rsid w:val="00A83996"/>
    <w:rsid w:val="00A8479F"/>
    <w:rsid w:val="00A84972"/>
    <w:rsid w:val="00A84DA7"/>
    <w:rsid w:val="00A85AB2"/>
    <w:rsid w:val="00A8601B"/>
    <w:rsid w:val="00A861AB"/>
    <w:rsid w:val="00A861B3"/>
    <w:rsid w:val="00A86B03"/>
    <w:rsid w:val="00A8762F"/>
    <w:rsid w:val="00A90114"/>
    <w:rsid w:val="00A9056A"/>
    <w:rsid w:val="00A90AE8"/>
    <w:rsid w:val="00A90C87"/>
    <w:rsid w:val="00A914D4"/>
    <w:rsid w:val="00A916CD"/>
    <w:rsid w:val="00A925AE"/>
    <w:rsid w:val="00A92D48"/>
    <w:rsid w:val="00A948AD"/>
    <w:rsid w:val="00A95DBF"/>
    <w:rsid w:val="00A95E8D"/>
    <w:rsid w:val="00A9671C"/>
    <w:rsid w:val="00A96F54"/>
    <w:rsid w:val="00A97691"/>
    <w:rsid w:val="00AA07CC"/>
    <w:rsid w:val="00AA0DAE"/>
    <w:rsid w:val="00AA10A4"/>
    <w:rsid w:val="00AA3055"/>
    <w:rsid w:val="00AA3153"/>
    <w:rsid w:val="00AA34C0"/>
    <w:rsid w:val="00AA3CA7"/>
    <w:rsid w:val="00AA3D06"/>
    <w:rsid w:val="00AA4170"/>
    <w:rsid w:val="00AA536A"/>
    <w:rsid w:val="00AA5640"/>
    <w:rsid w:val="00AA5B6A"/>
    <w:rsid w:val="00AA633E"/>
    <w:rsid w:val="00AA65A2"/>
    <w:rsid w:val="00AA6642"/>
    <w:rsid w:val="00AA6E8C"/>
    <w:rsid w:val="00AA735F"/>
    <w:rsid w:val="00AA7B93"/>
    <w:rsid w:val="00AB0201"/>
    <w:rsid w:val="00AB0D32"/>
    <w:rsid w:val="00AB1351"/>
    <w:rsid w:val="00AB13C8"/>
    <w:rsid w:val="00AB1440"/>
    <w:rsid w:val="00AB2830"/>
    <w:rsid w:val="00AB299A"/>
    <w:rsid w:val="00AB33AC"/>
    <w:rsid w:val="00AB3453"/>
    <w:rsid w:val="00AB3A60"/>
    <w:rsid w:val="00AB4050"/>
    <w:rsid w:val="00AB633F"/>
    <w:rsid w:val="00AB698C"/>
    <w:rsid w:val="00AB6E3E"/>
    <w:rsid w:val="00AC0739"/>
    <w:rsid w:val="00AC0D5B"/>
    <w:rsid w:val="00AC1168"/>
    <w:rsid w:val="00AC136E"/>
    <w:rsid w:val="00AC13FE"/>
    <w:rsid w:val="00AC17D5"/>
    <w:rsid w:val="00AC1D6E"/>
    <w:rsid w:val="00AC23D6"/>
    <w:rsid w:val="00AC2961"/>
    <w:rsid w:val="00AC2D6B"/>
    <w:rsid w:val="00AC2E74"/>
    <w:rsid w:val="00AC2F3D"/>
    <w:rsid w:val="00AC3081"/>
    <w:rsid w:val="00AC3F61"/>
    <w:rsid w:val="00AC4117"/>
    <w:rsid w:val="00AC4226"/>
    <w:rsid w:val="00AC4916"/>
    <w:rsid w:val="00AC491F"/>
    <w:rsid w:val="00AC50FD"/>
    <w:rsid w:val="00AC60B3"/>
    <w:rsid w:val="00AC6F58"/>
    <w:rsid w:val="00AD0458"/>
    <w:rsid w:val="00AD0735"/>
    <w:rsid w:val="00AD0951"/>
    <w:rsid w:val="00AD1B75"/>
    <w:rsid w:val="00AD1E7E"/>
    <w:rsid w:val="00AD22B9"/>
    <w:rsid w:val="00AD35E2"/>
    <w:rsid w:val="00AD3C36"/>
    <w:rsid w:val="00AD3FD4"/>
    <w:rsid w:val="00AD5C48"/>
    <w:rsid w:val="00AD6E1F"/>
    <w:rsid w:val="00AD75C7"/>
    <w:rsid w:val="00AD7E76"/>
    <w:rsid w:val="00AE0F44"/>
    <w:rsid w:val="00AE1D35"/>
    <w:rsid w:val="00AE1F2E"/>
    <w:rsid w:val="00AE2AD4"/>
    <w:rsid w:val="00AE2EE1"/>
    <w:rsid w:val="00AE351A"/>
    <w:rsid w:val="00AE37CE"/>
    <w:rsid w:val="00AE3A99"/>
    <w:rsid w:val="00AE3EFA"/>
    <w:rsid w:val="00AE574C"/>
    <w:rsid w:val="00AE59BA"/>
    <w:rsid w:val="00AE618F"/>
    <w:rsid w:val="00AE6805"/>
    <w:rsid w:val="00AE6936"/>
    <w:rsid w:val="00AE710C"/>
    <w:rsid w:val="00AE7C52"/>
    <w:rsid w:val="00AF0E2D"/>
    <w:rsid w:val="00AF0F11"/>
    <w:rsid w:val="00AF13FB"/>
    <w:rsid w:val="00AF160F"/>
    <w:rsid w:val="00AF166C"/>
    <w:rsid w:val="00AF178C"/>
    <w:rsid w:val="00AF26CD"/>
    <w:rsid w:val="00AF2875"/>
    <w:rsid w:val="00AF4CEF"/>
    <w:rsid w:val="00AF5030"/>
    <w:rsid w:val="00AF5038"/>
    <w:rsid w:val="00AF53A1"/>
    <w:rsid w:val="00AF5CAD"/>
    <w:rsid w:val="00AF6EB8"/>
    <w:rsid w:val="00B0128C"/>
    <w:rsid w:val="00B01988"/>
    <w:rsid w:val="00B01BBB"/>
    <w:rsid w:val="00B025C7"/>
    <w:rsid w:val="00B02D85"/>
    <w:rsid w:val="00B032DC"/>
    <w:rsid w:val="00B03307"/>
    <w:rsid w:val="00B034FF"/>
    <w:rsid w:val="00B03B97"/>
    <w:rsid w:val="00B046AE"/>
    <w:rsid w:val="00B04CD7"/>
    <w:rsid w:val="00B04EBC"/>
    <w:rsid w:val="00B0534A"/>
    <w:rsid w:val="00B05AAA"/>
    <w:rsid w:val="00B05CE4"/>
    <w:rsid w:val="00B0612E"/>
    <w:rsid w:val="00B0672D"/>
    <w:rsid w:val="00B068B3"/>
    <w:rsid w:val="00B07BA2"/>
    <w:rsid w:val="00B10AD1"/>
    <w:rsid w:val="00B10F83"/>
    <w:rsid w:val="00B1135A"/>
    <w:rsid w:val="00B11762"/>
    <w:rsid w:val="00B12860"/>
    <w:rsid w:val="00B13205"/>
    <w:rsid w:val="00B1415B"/>
    <w:rsid w:val="00B14427"/>
    <w:rsid w:val="00B15449"/>
    <w:rsid w:val="00B1544A"/>
    <w:rsid w:val="00B15DF0"/>
    <w:rsid w:val="00B165F2"/>
    <w:rsid w:val="00B16C46"/>
    <w:rsid w:val="00B17332"/>
    <w:rsid w:val="00B1754C"/>
    <w:rsid w:val="00B17BEA"/>
    <w:rsid w:val="00B17CBA"/>
    <w:rsid w:val="00B17FA7"/>
    <w:rsid w:val="00B20CC4"/>
    <w:rsid w:val="00B21089"/>
    <w:rsid w:val="00B22CB2"/>
    <w:rsid w:val="00B23447"/>
    <w:rsid w:val="00B2358B"/>
    <w:rsid w:val="00B23720"/>
    <w:rsid w:val="00B23B82"/>
    <w:rsid w:val="00B24026"/>
    <w:rsid w:val="00B24264"/>
    <w:rsid w:val="00B24BAB"/>
    <w:rsid w:val="00B2578B"/>
    <w:rsid w:val="00B25833"/>
    <w:rsid w:val="00B25EFF"/>
    <w:rsid w:val="00B264B3"/>
    <w:rsid w:val="00B26C53"/>
    <w:rsid w:val="00B26D02"/>
    <w:rsid w:val="00B2709D"/>
    <w:rsid w:val="00B3015A"/>
    <w:rsid w:val="00B3089D"/>
    <w:rsid w:val="00B3174E"/>
    <w:rsid w:val="00B32172"/>
    <w:rsid w:val="00B322CB"/>
    <w:rsid w:val="00B32E3E"/>
    <w:rsid w:val="00B32E97"/>
    <w:rsid w:val="00B33290"/>
    <w:rsid w:val="00B346F7"/>
    <w:rsid w:val="00B34BD4"/>
    <w:rsid w:val="00B353EA"/>
    <w:rsid w:val="00B3590B"/>
    <w:rsid w:val="00B35C67"/>
    <w:rsid w:val="00B366C5"/>
    <w:rsid w:val="00B36899"/>
    <w:rsid w:val="00B36CEA"/>
    <w:rsid w:val="00B36E58"/>
    <w:rsid w:val="00B37A6A"/>
    <w:rsid w:val="00B4070D"/>
    <w:rsid w:val="00B409A5"/>
    <w:rsid w:val="00B41093"/>
    <w:rsid w:val="00B415F0"/>
    <w:rsid w:val="00B424C6"/>
    <w:rsid w:val="00B4299E"/>
    <w:rsid w:val="00B43222"/>
    <w:rsid w:val="00B4322F"/>
    <w:rsid w:val="00B43867"/>
    <w:rsid w:val="00B44109"/>
    <w:rsid w:val="00B45106"/>
    <w:rsid w:val="00B46870"/>
    <w:rsid w:val="00B46BE0"/>
    <w:rsid w:val="00B46CE0"/>
    <w:rsid w:val="00B4796F"/>
    <w:rsid w:val="00B47FD1"/>
    <w:rsid w:val="00B5097D"/>
    <w:rsid w:val="00B51CFE"/>
    <w:rsid w:val="00B529A2"/>
    <w:rsid w:val="00B53247"/>
    <w:rsid w:val="00B5334C"/>
    <w:rsid w:val="00B53586"/>
    <w:rsid w:val="00B53894"/>
    <w:rsid w:val="00B53CD5"/>
    <w:rsid w:val="00B541AF"/>
    <w:rsid w:val="00B54308"/>
    <w:rsid w:val="00B544BD"/>
    <w:rsid w:val="00B55ED0"/>
    <w:rsid w:val="00B56463"/>
    <w:rsid w:val="00B57D78"/>
    <w:rsid w:val="00B60137"/>
    <w:rsid w:val="00B603B6"/>
    <w:rsid w:val="00B6052A"/>
    <w:rsid w:val="00B61019"/>
    <w:rsid w:val="00B61923"/>
    <w:rsid w:val="00B619EB"/>
    <w:rsid w:val="00B61D4E"/>
    <w:rsid w:val="00B62367"/>
    <w:rsid w:val="00B6317A"/>
    <w:rsid w:val="00B637A7"/>
    <w:rsid w:val="00B63840"/>
    <w:rsid w:val="00B63876"/>
    <w:rsid w:val="00B641FF"/>
    <w:rsid w:val="00B64398"/>
    <w:rsid w:val="00B65162"/>
    <w:rsid w:val="00B65DAC"/>
    <w:rsid w:val="00B65E54"/>
    <w:rsid w:val="00B66AB3"/>
    <w:rsid w:val="00B67C01"/>
    <w:rsid w:val="00B7278D"/>
    <w:rsid w:val="00B72907"/>
    <w:rsid w:val="00B73DD4"/>
    <w:rsid w:val="00B7464D"/>
    <w:rsid w:val="00B754D8"/>
    <w:rsid w:val="00B756A9"/>
    <w:rsid w:val="00B7590F"/>
    <w:rsid w:val="00B777F1"/>
    <w:rsid w:val="00B779D0"/>
    <w:rsid w:val="00B80494"/>
    <w:rsid w:val="00B80826"/>
    <w:rsid w:val="00B817A9"/>
    <w:rsid w:val="00B8359D"/>
    <w:rsid w:val="00B84A71"/>
    <w:rsid w:val="00B850C1"/>
    <w:rsid w:val="00B8584E"/>
    <w:rsid w:val="00B863C2"/>
    <w:rsid w:val="00B86507"/>
    <w:rsid w:val="00B86E45"/>
    <w:rsid w:val="00B87683"/>
    <w:rsid w:val="00B90ADC"/>
    <w:rsid w:val="00B910CA"/>
    <w:rsid w:val="00B918B3"/>
    <w:rsid w:val="00B91A90"/>
    <w:rsid w:val="00B91CA7"/>
    <w:rsid w:val="00B936F3"/>
    <w:rsid w:val="00B93CB3"/>
    <w:rsid w:val="00B94080"/>
    <w:rsid w:val="00B94D15"/>
    <w:rsid w:val="00B9504F"/>
    <w:rsid w:val="00B95641"/>
    <w:rsid w:val="00B96121"/>
    <w:rsid w:val="00B9745D"/>
    <w:rsid w:val="00BA0729"/>
    <w:rsid w:val="00BA0D04"/>
    <w:rsid w:val="00BA1260"/>
    <w:rsid w:val="00BA22F1"/>
    <w:rsid w:val="00BA2D37"/>
    <w:rsid w:val="00BA2D9E"/>
    <w:rsid w:val="00BA44C9"/>
    <w:rsid w:val="00BA50E7"/>
    <w:rsid w:val="00BA560A"/>
    <w:rsid w:val="00BA59E9"/>
    <w:rsid w:val="00BA6263"/>
    <w:rsid w:val="00BA62F0"/>
    <w:rsid w:val="00BA62FD"/>
    <w:rsid w:val="00BA6E9E"/>
    <w:rsid w:val="00BA7F50"/>
    <w:rsid w:val="00BB00C2"/>
    <w:rsid w:val="00BB0B1C"/>
    <w:rsid w:val="00BB0C99"/>
    <w:rsid w:val="00BB0CB8"/>
    <w:rsid w:val="00BB1014"/>
    <w:rsid w:val="00BB116D"/>
    <w:rsid w:val="00BB1440"/>
    <w:rsid w:val="00BB177B"/>
    <w:rsid w:val="00BB1ADD"/>
    <w:rsid w:val="00BB2D68"/>
    <w:rsid w:val="00BB33E8"/>
    <w:rsid w:val="00BB3958"/>
    <w:rsid w:val="00BB494F"/>
    <w:rsid w:val="00BB4D07"/>
    <w:rsid w:val="00BB7B99"/>
    <w:rsid w:val="00BB7EF6"/>
    <w:rsid w:val="00BC0512"/>
    <w:rsid w:val="00BC2D1B"/>
    <w:rsid w:val="00BC2F8D"/>
    <w:rsid w:val="00BC34BD"/>
    <w:rsid w:val="00BC3FCC"/>
    <w:rsid w:val="00BC4310"/>
    <w:rsid w:val="00BC67CE"/>
    <w:rsid w:val="00BC6997"/>
    <w:rsid w:val="00BC7CC5"/>
    <w:rsid w:val="00BC7DD3"/>
    <w:rsid w:val="00BD1709"/>
    <w:rsid w:val="00BD2120"/>
    <w:rsid w:val="00BD2326"/>
    <w:rsid w:val="00BD3107"/>
    <w:rsid w:val="00BD3E49"/>
    <w:rsid w:val="00BD5851"/>
    <w:rsid w:val="00BD5933"/>
    <w:rsid w:val="00BD5A36"/>
    <w:rsid w:val="00BD76CB"/>
    <w:rsid w:val="00BD7E95"/>
    <w:rsid w:val="00BE1DEA"/>
    <w:rsid w:val="00BE2178"/>
    <w:rsid w:val="00BE2455"/>
    <w:rsid w:val="00BE26EA"/>
    <w:rsid w:val="00BE2842"/>
    <w:rsid w:val="00BE297A"/>
    <w:rsid w:val="00BE2BB0"/>
    <w:rsid w:val="00BE2D9A"/>
    <w:rsid w:val="00BE3445"/>
    <w:rsid w:val="00BE369B"/>
    <w:rsid w:val="00BE3BF9"/>
    <w:rsid w:val="00BE4576"/>
    <w:rsid w:val="00BE4FE7"/>
    <w:rsid w:val="00BE5FCC"/>
    <w:rsid w:val="00BE6611"/>
    <w:rsid w:val="00BE66AE"/>
    <w:rsid w:val="00BE66B1"/>
    <w:rsid w:val="00BE71F1"/>
    <w:rsid w:val="00BE731C"/>
    <w:rsid w:val="00BE756F"/>
    <w:rsid w:val="00BE7743"/>
    <w:rsid w:val="00BF0B21"/>
    <w:rsid w:val="00BF16EF"/>
    <w:rsid w:val="00BF1748"/>
    <w:rsid w:val="00BF24CD"/>
    <w:rsid w:val="00BF2559"/>
    <w:rsid w:val="00BF432D"/>
    <w:rsid w:val="00BF44EF"/>
    <w:rsid w:val="00BF4EA6"/>
    <w:rsid w:val="00BF5C50"/>
    <w:rsid w:val="00BF6519"/>
    <w:rsid w:val="00BF6584"/>
    <w:rsid w:val="00BF6CFA"/>
    <w:rsid w:val="00BF6D5C"/>
    <w:rsid w:val="00BF7324"/>
    <w:rsid w:val="00BF7ACF"/>
    <w:rsid w:val="00BF7F74"/>
    <w:rsid w:val="00C01ADE"/>
    <w:rsid w:val="00C01D48"/>
    <w:rsid w:val="00C03039"/>
    <w:rsid w:val="00C03945"/>
    <w:rsid w:val="00C05771"/>
    <w:rsid w:val="00C05E48"/>
    <w:rsid w:val="00C0604A"/>
    <w:rsid w:val="00C062DC"/>
    <w:rsid w:val="00C10B7F"/>
    <w:rsid w:val="00C10C27"/>
    <w:rsid w:val="00C1172F"/>
    <w:rsid w:val="00C11B62"/>
    <w:rsid w:val="00C11C84"/>
    <w:rsid w:val="00C12B51"/>
    <w:rsid w:val="00C139D2"/>
    <w:rsid w:val="00C13A3D"/>
    <w:rsid w:val="00C13EAA"/>
    <w:rsid w:val="00C1403F"/>
    <w:rsid w:val="00C16271"/>
    <w:rsid w:val="00C16686"/>
    <w:rsid w:val="00C167FB"/>
    <w:rsid w:val="00C170F4"/>
    <w:rsid w:val="00C20241"/>
    <w:rsid w:val="00C20551"/>
    <w:rsid w:val="00C212ED"/>
    <w:rsid w:val="00C21A7D"/>
    <w:rsid w:val="00C21FFD"/>
    <w:rsid w:val="00C22F1A"/>
    <w:rsid w:val="00C23190"/>
    <w:rsid w:val="00C2329D"/>
    <w:rsid w:val="00C23F6F"/>
    <w:rsid w:val="00C2458B"/>
    <w:rsid w:val="00C25653"/>
    <w:rsid w:val="00C2714D"/>
    <w:rsid w:val="00C27548"/>
    <w:rsid w:val="00C27E75"/>
    <w:rsid w:val="00C30F1A"/>
    <w:rsid w:val="00C3180D"/>
    <w:rsid w:val="00C31EDF"/>
    <w:rsid w:val="00C326FF"/>
    <w:rsid w:val="00C32CB8"/>
    <w:rsid w:val="00C33079"/>
    <w:rsid w:val="00C3326E"/>
    <w:rsid w:val="00C3377F"/>
    <w:rsid w:val="00C350BA"/>
    <w:rsid w:val="00C35241"/>
    <w:rsid w:val="00C364F2"/>
    <w:rsid w:val="00C375FD"/>
    <w:rsid w:val="00C400A4"/>
    <w:rsid w:val="00C405ED"/>
    <w:rsid w:val="00C407AE"/>
    <w:rsid w:val="00C41698"/>
    <w:rsid w:val="00C41790"/>
    <w:rsid w:val="00C4187F"/>
    <w:rsid w:val="00C422B0"/>
    <w:rsid w:val="00C42401"/>
    <w:rsid w:val="00C42F81"/>
    <w:rsid w:val="00C43207"/>
    <w:rsid w:val="00C4329D"/>
    <w:rsid w:val="00C432C6"/>
    <w:rsid w:val="00C437B7"/>
    <w:rsid w:val="00C43D9E"/>
    <w:rsid w:val="00C43FBA"/>
    <w:rsid w:val="00C4412B"/>
    <w:rsid w:val="00C447BF"/>
    <w:rsid w:val="00C44E18"/>
    <w:rsid w:val="00C4594C"/>
    <w:rsid w:val="00C460A9"/>
    <w:rsid w:val="00C465DF"/>
    <w:rsid w:val="00C47123"/>
    <w:rsid w:val="00C47188"/>
    <w:rsid w:val="00C47975"/>
    <w:rsid w:val="00C479A8"/>
    <w:rsid w:val="00C504CF"/>
    <w:rsid w:val="00C50D95"/>
    <w:rsid w:val="00C51599"/>
    <w:rsid w:val="00C51C90"/>
    <w:rsid w:val="00C52030"/>
    <w:rsid w:val="00C525B8"/>
    <w:rsid w:val="00C543D2"/>
    <w:rsid w:val="00C54E41"/>
    <w:rsid w:val="00C552C1"/>
    <w:rsid w:val="00C5532D"/>
    <w:rsid w:val="00C55FA4"/>
    <w:rsid w:val="00C57CD5"/>
    <w:rsid w:val="00C57E77"/>
    <w:rsid w:val="00C612F0"/>
    <w:rsid w:val="00C62A70"/>
    <w:rsid w:val="00C62C91"/>
    <w:rsid w:val="00C62CDF"/>
    <w:rsid w:val="00C63A02"/>
    <w:rsid w:val="00C63E70"/>
    <w:rsid w:val="00C64AF4"/>
    <w:rsid w:val="00C65C6C"/>
    <w:rsid w:val="00C66901"/>
    <w:rsid w:val="00C6732F"/>
    <w:rsid w:val="00C67A14"/>
    <w:rsid w:val="00C67B7A"/>
    <w:rsid w:val="00C67C49"/>
    <w:rsid w:val="00C702A5"/>
    <w:rsid w:val="00C703E6"/>
    <w:rsid w:val="00C7083E"/>
    <w:rsid w:val="00C71ABF"/>
    <w:rsid w:val="00C72D40"/>
    <w:rsid w:val="00C73CBA"/>
    <w:rsid w:val="00C74AB1"/>
    <w:rsid w:val="00C7627B"/>
    <w:rsid w:val="00C76AEB"/>
    <w:rsid w:val="00C7722F"/>
    <w:rsid w:val="00C77389"/>
    <w:rsid w:val="00C77630"/>
    <w:rsid w:val="00C77CFE"/>
    <w:rsid w:val="00C77FA2"/>
    <w:rsid w:val="00C806A7"/>
    <w:rsid w:val="00C82999"/>
    <w:rsid w:val="00C82AA5"/>
    <w:rsid w:val="00C82F75"/>
    <w:rsid w:val="00C8300B"/>
    <w:rsid w:val="00C83A13"/>
    <w:rsid w:val="00C85412"/>
    <w:rsid w:val="00C85773"/>
    <w:rsid w:val="00C85925"/>
    <w:rsid w:val="00C85B90"/>
    <w:rsid w:val="00C868C0"/>
    <w:rsid w:val="00C86A32"/>
    <w:rsid w:val="00C86EED"/>
    <w:rsid w:val="00C87295"/>
    <w:rsid w:val="00C91256"/>
    <w:rsid w:val="00C91631"/>
    <w:rsid w:val="00C91DDB"/>
    <w:rsid w:val="00C9224D"/>
    <w:rsid w:val="00C927BF"/>
    <w:rsid w:val="00C937E3"/>
    <w:rsid w:val="00C93887"/>
    <w:rsid w:val="00C938CA"/>
    <w:rsid w:val="00C9531E"/>
    <w:rsid w:val="00C95DBF"/>
    <w:rsid w:val="00C968A1"/>
    <w:rsid w:val="00C97626"/>
    <w:rsid w:val="00C976A3"/>
    <w:rsid w:val="00C97E2C"/>
    <w:rsid w:val="00CA110B"/>
    <w:rsid w:val="00CA11B1"/>
    <w:rsid w:val="00CA17B1"/>
    <w:rsid w:val="00CA1E72"/>
    <w:rsid w:val="00CA258E"/>
    <w:rsid w:val="00CA3848"/>
    <w:rsid w:val="00CA3D0C"/>
    <w:rsid w:val="00CA4DF7"/>
    <w:rsid w:val="00CA5604"/>
    <w:rsid w:val="00CA6331"/>
    <w:rsid w:val="00CA68AF"/>
    <w:rsid w:val="00CA6D05"/>
    <w:rsid w:val="00CA6E92"/>
    <w:rsid w:val="00CA7AFB"/>
    <w:rsid w:val="00CA7BDD"/>
    <w:rsid w:val="00CA7D3F"/>
    <w:rsid w:val="00CB126C"/>
    <w:rsid w:val="00CB1504"/>
    <w:rsid w:val="00CB1934"/>
    <w:rsid w:val="00CB23A9"/>
    <w:rsid w:val="00CB66BA"/>
    <w:rsid w:val="00CB69A3"/>
    <w:rsid w:val="00CB6B7B"/>
    <w:rsid w:val="00CB7192"/>
    <w:rsid w:val="00CB7D1B"/>
    <w:rsid w:val="00CC0801"/>
    <w:rsid w:val="00CC1097"/>
    <w:rsid w:val="00CC227D"/>
    <w:rsid w:val="00CC2D52"/>
    <w:rsid w:val="00CC390B"/>
    <w:rsid w:val="00CC5102"/>
    <w:rsid w:val="00CC51B8"/>
    <w:rsid w:val="00CC66ED"/>
    <w:rsid w:val="00CC6702"/>
    <w:rsid w:val="00CC703D"/>
    <w:rsid w:val="00CD07AC"/>
    <w:rsid w:val="00CD0A3B"/>
    <w:rsid w:val="00CD0DE6"/>
    <w:rsid w:val="00CD1132"/>
    <w:rsid w:val="00CD15E1"/>
    <w:rsid w:val="00CD168C"/>
    <w:rsid w:val="00CD1708"/>
    <w:rsid w:val="00CD173E"/>
    <w:rsid w:val="00CD188C"/>
    <w:rsid w:val="00CD1F31"/>
    <w:rsid w:val="00CD2EFC"/>
    <w:rsid w:val="00CD37BC"/>
    <w:rsid w:val="00CD4C7B"/>
    <w:rsid w:val="00CD521C"/>
    <w:rsid w:val="00CD6834"/>
    <w:rsid w:val="00CD6BA6"/>
    <w:rsid w:val="00CE1610"/>
    <w:rsid w:val="00CE168D"/>
    <w:rsid w:val="00CE16DB"/>
    <w:rsid w:val="00CE1C09"/>
    <w:rsid w:val="00CE1D02"/>
    <w:rsid w:val="00CE1E20"/>
    <w:rsid w:val="00CE2D2C"/>
    <w:rsid w:val="00CE2E39"/>
    <w:rsid w:val="00CE37F4"/>
    <w:rsid w:val="00CE382C"/>
    <w:rsid w:val="00CE409C"/>
    <w:rsid w:val="00CE4812"/>
    <w:rsid w:val="00CE5023"/>
    <w:rsid w:val="00CE6D6E"/>
    <w:rsid w:val="00CE6EBC"/>
    <w:rsid w:val="00CE6EF7"/>
    <w:rsid w:val="00CE7377"/>
    <w:rsid w:val="00CE756F"/>
    <w:rsid w:val="00CF195E"/>
    <w:rsid w:val="00CF32AF"/>
    <w:rsid w:val="00CF331E"/>
    <w:rsid w:val="00CF347C"/>
    <w:rsid w:val="00CF3CE5"/>
    <w:rsid w:val="00CF4629"/>
    <w:rsid w:val="00CF69E0"/>
    <w:rsid w:val="00CF6D2C"/>
    <w:rsid w:val="00CF77AD"/>
    <w:rsid w:val="00CF7A08"/>
    <w:rsid w:val="00CF7DAE"/>
    <w:rsid w:val="00D01A37"/>
    <w:rsid w:val="00D01A6C"/>
    <w:rsid w:val="00D020C4"/>
    <w:rsid w:val="00D031CB"/>
    <w:rsid w:val="00D03A57"/>
    <w:rsid w:val="00D049D9"/>
    <w:rsid w:val="00D04A8F"/>
    <w:rsid w:val="00D04AB6"/>
    <w:rsid w:val="00D04BF6"/>
    <w:rsid w:val="00D050BF"/>
    <w:rsid w:val="00D059FC"/>
    <w:rsid w:val="00D06090"/>
    <w:rsid w:val="00D066F7"/>
    <w:rsid w:val="00D067AB"/>
    <w:rsid w:val="00D075B1"/>
    <w:rsid w:val="00D0799D"/>
    <w:rsid w:val="00D07BF2"/>
    <w:rsid w:val="00D07DF1"/>
    <w:rsid w:val="00D101AC"/>
    <w:rsid w:val="00D10235"/>
    <w:rsid w:val="00D10AD4"/>
    <w:rsid w:val="00D10FC1"/>
    <w:rsid w:val="00D12D52"/>
    <w:rsid w:val="00D13455"/>
    <w:rsid w:val="00D135E0"/>
    <w:rsid w:val="00D13AC8"/>
    <w:rsid w:val="00D148B4"/>
    <w:rsid w:val="00D14C10"/>
    <w:rsid w:val="00D153C2"/>
    <w:rsid w:val="00D155D8"/>
    <w:rsid w:val="00D16295"/>
    <w:rsid w:val="00D16381"/>
    <w:rsid w:val="00D171EA"/>
    <w:rsid w:val="00D174D7"/>
    <w:rsid w:val="00D1756D"/>
    <w:rsid w:val="00D17754"/>
    <w:rsid w:val="00D17E65"/>
    <w:rsid w:val="00D2114A"/>
    <w:rsid w:val="00D24BC0"/>
    <w:rsid w:val="00D24CE4"/>
    <w:rsid w:val="00D24F81"/>
    <w:rsid w:val="00D25074"/>
    <w:rsid w:val="00D25464"/>
    <w:rsid w:val="00D25E96"/>
    <w:rsid w:val="00D27706"/>
    <w:rsid w:val="00D2793E"/>
    <w:rsid w:val="00D306C6"/>
    <w:rsid w:val="00D30729"/>
    <w:rsid w:val="00D3072D"/>
    <w:rsid w:val="00D30BEC"/>
    <w:rsid w:val="00D31511"/>
    <w:rsid w:val="00D31AC9"/>
    <w:rsid w:val="00D31C27"/>
    <w:rsid w:val="00D31E68"/>
    <w:rsid w:val="00D321F5"/>
    <w:rsid w:val="00D327A7"/>
    <w:rsid w:val="00D327FF"/>
    <w:rsid w:val="00D32D37"/>
    <w:rsid w:val="00D33129"/>
    <w:rsid w:val="00D33408"/>
    <w:rsid w:val="00D3362C"/>
    <w:rsid w:val="00D338BF"/>
    <w:rsid w:val="00D3436A"/>
    <w:rsid w:val="00D352EF"/>
    <w:rsid w:val="00D353E3"/>
    <w:rsid w:val="00D36939"/>
    <w:rsid w:val="00D37635"/>
    <w:rsid w:val="00D3774C"/>
    <w:rsid w:val="00D40608"/>
    <w:rsid w:val="00D40992"/>
    <w:rsid w:val="00D40C24"/>
    <w:rsid w:val="00D413EF"/>
    <w:rsid w:val="00D417B8"/>
    <w:rsid w:val="00D41A3F"/>
    <w:rsid w:val="00D429E2"/>
    <w:rsid w:val="00D43BAF"/>
    <w:rsid w:val="00D4533A"/>
    <w:rsid w:val="00D45A26"/>
    <w:rsid w:val="00D462AD"/>
    <w:rsid w:val="00D46614"/>
    <w:rsid w:val="00D5129F"/>
    <w:rsid w:val="00D51481"/>
    <w:rsid w:val="00D53831"/>
    <w:rsid w:val="00D54625"/>
    <w:rsid w:val="00D549EB"/>
    <w:rsid w:val="00D5543A"/>
    <w:rsid w:val="00D5578B"/>
    <w:rsid w:val="00D55B2D"/>
    <w:rsid w:val="00D55F51"/>
    <w:rsid w:val="00D56769"/>
    <w:rsid w:val="00D568E3"/>
    <w:rsid w:val="00D56A1B"/>
    <w:rsid w:val="00D56D0B"/>
    <w:rsid w:val="00D57F09"/>
    <w:rsid w:val="00D61BAE"/>
    <w:rsid w:val="00D628FD"/>
    <w:rsid w:val="00D63605"/>
    <w:rsid w:val="00D63DAC"/>
    <w:rsid w:val="00D640B0"/>
    <w:rsid w:val="00D640F9"/>
    <w:rsid w:val="00D65086"/>
    <w:rsid w:val="00D650EE"/>
    <w:rsid w:val="00D652C3"/>
    <w:rsid w:val="00D65E59"/>
    <w:rsid w:val="00D66618"/>
    <w:rsid w:val="00D66DE6"/>
    <w:rsid w:val="00D66F58"/>
    <w:rsid w:val="00D7058A"/>
    <w:rsid w:val="00D70FC9"/>
    <w:rsid w:val="00D71D01"/>
    <w:rsid w:val="00D72569"/>
    <w:rsid w:val="00D731A3"/>
    <w:rsid w:val="00D731F8"/>
    <w:rsid w:val="00D73838"/>
    <w:rsid w:val="00D738D6"/>
    <w:rsid w:val="00D73D3B"/>
    <w:rsid w:val="00D74F0F"/>
    <w:rsid w:val="00D75161"/>
    <w:rsid w:val="00D7592F"/>
    <w:rsid w:val="00D762B6"/>
    <w:rsid w:val="00D76DD6"/>
    <w:rsid w:val="00D76F47"/>
    <w:rsid w:val="00D772AE"/>
    <w:rsid w:val="00D775BB"/>
    <w:rsid w:val="00D77807"/>
    <w:rsid w:val="00D7786E"/>
    <w:rsid w:val="00D77F55"/>
    <w:rsid w:val="00D80795"/>
    <w:rsid w:val="00D81649"/>
    <w:rsid w:val="00D81889"/>
    <w:rsid w:val="00D81977"/>
    <w:rsid w:val="00D81985"/>
    <w:rsid w:val="00D8252B"/>
    <w:rsid w:val="00D831E5"/>
    <w:rsid w:val="00D8361F"/>
    <w:rsid w:val="00D839D4"/>
    <w:rsid w:val="00D84570"/>
    <w:rsid w:val="00D8467F"/>
    <w:rsid w:val="00D84DA6"/>
    <w:rsid w:val="00D85012"/>
    <w:rsid w:val="00D85143"/>
    <w:rsid w:val="00D85F8F"/>
    <w:rsid w:val="00D875D1"/>
    <w:rsid w:val="00D87863"/>
    <w:rsid w:val="00D87BD0"/>
    <w:rsid w:val="00D87E00"/>
    <w:rsid w:val="00D9023E"/>
    <w:rsid w:val="00D909F6"/>
    <w:rsid w:val="00D90A0F"/>
    <w:rsid w:val="00D9134D"/>
    <w:rsid w:val="00D91F0E"/>
    <w:rsid w:val="00D92E0B"/>
    <w:rsid w:val="00D936E3"/>
    <w:rsid w:val="00D93BF4"/>
    <w:rsid w:val="00D93DA1"/>
    <w:rsid w:val="00D948AB"/>
    <w:rsid w:val="00D95277"/>
    <w:rsid w:val="00D9603D"/>
    <w:rsid w:val="00D9629D"/>
    <w:rsid w:val="00D96D11"/>
    <w:rsid w:val="00D9758B"/>
    <w:rsid w:val="00D9767F"/>
    <w:rsid w:val="00DA1914"/>
    <w:rsid w:val="00DA2673"/>
    <w:rsid w:val="00DA26C9"/>
    <w:rsid w:val="00DA2FCB"/>
    <w:rsid w:val="00DA3BA3"/>
    <w:rsid w:val="00DA3F00"/>
    <w:rsid w:val="00DA493E"/>
    <w:rsid w:val="00DA57E0"/>
    <w:rsid w:val="00DA59E4"/>
    <w:rsid w:val="00DA5A05"/>
    <w:rsid w:val="00DA61DA"/>
    <w:rsid w:val="00DA6358"/>
    <w:rsid w:val="00DA7880"/>
    <w:rsid w:val="00DA7A03"/>
    <w:rsid w:val="00DB009E"/>
    <w:rsid w:val="00DB0823"/>
    <w:rsid w:val="00DB089C"/>
    <w:rsid w:val="00DB1818"/>
    <w:rsid w:val="00DB3020"/>
    <w:rsid w:val="00DB42C1"/>
    <w:rsid w:val="00DB5B45"/>
    <w:rsid w:val="00DB73D9"/>
    <w:rsid w:val="00DB781B"/>
    <w:rsid w:val="00DC0B14"/>
    <w:rsid w:val="00DC0D17"/>
    <w:rsid w:val="00DC1CA4"/>
    <w:rsid w:val="00DC1DB2"/>
    <w:rsid w:val="00DC2DDB"/>
    <w:rsid w:val="00DC309B"/>
    <w:rsid w:val="00DC3189"/>
    <w:rsid w:val="00DC358C"/>
    <w:rsid w:val="00DC384A"/>
    <w:rsid w:val="00DC3DCF"/>
    <w:rsid w:val="00DC470A"/>
    <w:rsid w:val="00DC49DA"/>
    <w:rsid w:val="00DC4CBF"/>
    <w:rsid w:val="00DC4DA2"/>
    <w:rsid w:val="00DC526E"/>
    <w:rsid w:val="00DC5647"/>
    <w:rsid w:val="00DC5C4B"/>
    <w:rsid w:val="00DC5D15"/>
    <w:rsid w:val="00DC6A65"/>
    <w:rsid w:val="00DC7212"/>
    <w:rsid w:val="00DD0116"/>
    <w:rsid w:val="00DD0722"/>
    <w:rsid w:val="00DD084A"/>
    <w:rsid w:val="00DD1418"/>
    <w:rsid w:val="00DD2B9E"/>
    <w:rsid w:val="00DD3709"/>
    <w:rsid w:val="00DD3B1E"/>
    <w:rsid w:val="00DD3DBB"/>
    <w:rsid w:val="00DD4211"/>
    <w:rsid w:val="00DD457A"/>
    <w:rsid w:val="00DD47BE"/>
    <w:rsid w:val="00DD4981"/>
    <w:rsid w:val="00DD66AC"/>
    <w:rsid w:val="00DD6A0E"/>
    <w:rsid w:val="00DD6C4C"/>
    <w:rsid w:val="00DD6C8E"/>
    <w:rsid w:val="00DD7182"/>
    <w:rsid w:val="00DD71E1"/>
    <w:rsid w:val="00DD71ED"/>
    <w:rsid w:val="00DD7F17"/>
    <w:rsid w:val="00DE00BF"/>
    <w:rsid w:val="00DE026E"/>
    <w:rsid w:val="00DE214C"/>
    <w:rsid w:val="00DE3132"/>
    <w:rsid w:val="00DE41D3"/>
    <w:rsid w:val="00DE620F"/>
    <w:rsid w:val="00DE6B4E"/>
    <w:rsid w:val="00DF06C9"/>
    <w:rsid w:val="00DF1369"/>
    <w:rsid w:val="00DF162E"/>
    <w:rsid w:val="00DF2A0E"/>
    <w:rsid w:val="00DF2B6A"/>
    <w:rsid w:val="00DF2D41"/>
    <w:rsid w:val="00DF2FBF"/>
    <w:rsid w:val="00DF4042"/>
    <w:rsid w:val="00DF4537"/>
    <w:rsid w:val="00DF68B1"/>
    <w:rsid w:val="00DF7551"/>
    <w:rsid w:val="00DF7E0B"/>
    <w:rsid w:val="00E007D2"/>
    <w:rsid w:val="00E00D16"/>
    <w:rsid w:val="00E00DDC"/>
    <w:rsid w:val="00E012AD"/>
    <w:rsid w:val="00E0150A"/>
    <w:rsid w:val="00E01CC9"/>
    <w:rsid w:val="00E0224B"/>
    <w:rsid w:val="00E023A1"/>
    <w:rsid w:val="00E02B6C"/>
    <w:rsid w:val="00E037EE"/>
    <w:rsid w:val="00E03AFA"/>
    <w:rsid w:val="00E05378"/>
    <w:rsid w:val="00E055C9"/>
    <w:rsid w:val="00E055FC"/>
    <w:rsid w:val="00E06FFD"/>
    <w:rsid w:val="00E079DE"/>
    <w:rsid w:val="00E10968"/>
    <w:rsid w:val="00E11267"/>
    <w:rsid w:val="00E1148E"/>
    <w:rsid w:val="00E119E1"/>
    <w:rsid w:val="00E1283B"/>
    <w:rsid w:val="00E128B3"/>
    <w:rsid w:val="00E128E1"/>
    <w:rsid w:val="00E12BB4"/>
    <w:rsid w:val="00E12EBF"/>
    <w:rsid w:val="00E13191"/>
    <w:rsid w:val="00E1437C"/>
    <w:rsid w:val="00E149EB"/>
    <w:rsid w:val="00E15875"/>
    <w:rsid w:val="00E15965"/>
    <w:rsid w:val="00E15F47"/>
    <w:rsid w:val="00E16249"/>
    <w:rsid w:val="00E16A77"/>
    <w:rsid w:val="00E179DD"/>
    <w:rsid w:val="00E2036A"/>
    <w:rsid w:val="00E21859"/>
    <w:rsid w:val="00E22E24"/>
    <w:rsid w:val="00E23273"/>
    <w:rsid w:val="00E2371C"/>
    <w:rsid w:val="00E23AA4"/>
    <w:rsid w:val="00E23C9E"/>
    <w:rsid w:val="00E24B18"/>
    <w:rsid w:val="00E25E8E"/>
    <w:rsid w:val="00E266B5"/>
    <w:rsid w:val="00E269ED"/>
    <w:rsid w:val="00E26B34"/>
    <w:rsid w:val="00E26B3A"/>
    <w:rsid w:val="00E26CE3"/>
    <w:rsid w:val="00E275A0"/>
    <w:rsid w:val="00E275D4"/>
    <w:rsid w:val="00E30F66"/>
    <w:rsid w:val="00E31985"/>
    <w:rsid w:val="00E31DC1"/>
    <w:rsid w:val="00E32853"/>
    <w:rsid w:val="00E328CA"/>
    <w:rsid w:val="00E32A0C"/>
    <w:rsid w:val="00E33234"/>
    <w:rsid w:val="00E33411"/>
    <w:rsid w:val="00E3344B"/>
    <w:rsid w:val="00E33516"/>
    <w:rsid w:val="00E34915"/>
    <w:rsid w:val="00E34E44"/>
    <w:rsid w:val="00E35170"/>
    <w:rsid w:val="00E35A6E"/>
    <w:rsid w:val="00E3621C"/>
    <w:rsid w:val="00E36307"/>
    <w:rsid w:val="00E36FEF"/>
    <w:rsid w:val="00E370C7"/>
    <w:rsid w:val="00E37713"/>
    <w:rsid w:val="00E378B9"/>
    <w:rsid w:val="00E37C73"/>
    <w:rsid w:val="00E40C68"/>
    <w:rsid w:val="00E4108A"/>
    <w:rsid w:val="00E41A0B"/>
    <w:rsid w:val="00E427E4"/>
    <w:rsid w:val="00E428E5"/>
    <w:rsid w:val="00E4434B"/>
    <w:rsid w:val="00E45256"/>
    <w:rsid w:val="00E469DF"/>
    <w:rsid w:val="00E500C9"/>
    <w:rsid w:val="00E53106"/>
    <w:rsid w:val="00E5324F"/>
    <w:rsid w:val="00E53643"/>
    <w:rsid w:val="00E541BD"/>
    <w:rsid w:val="00E54DE7"/>
    <w:rsid w:val="00E559F4"/>
    <w:rsid w:val="00E565BF"/>
    <w:rsid w:val="00E56673"/>
    <w:rsid w:val="00E56A33"/>
    <w:rsid w:val="00E60735"/>
    <w:rsid w:val="00E60D7B"/>
    <w:rsid w:val="00E60DEB"/>
    <w:rsid w:val="00E60E7F"/>
    <w:rsid w:val="00E611A4"/>
    <w:rsid w:val="00E61955"/>
    <w:rsid w:val="00E626B1"/>
    <w:rsid w:val="00E62835"/>
    <w:rsid w:val="00E628C1"/>
    <w:rsid w:val="00E6347E"/>
    <w:rsid w:val="00E658CF"/>
    <w:rsid w:val="00E659A5"/>
    <w:rsid w:val="00E66672"/>
    <w:rsid w:val="00E66999"/>
    <w:rsid w:val="00E66D33"/>
    <w:rsid w:val="00E6743D"/>
    <w:rsid w:val="00E674EF"/>
    <w:rsid w:val="00E67836"/>
    <w:rsid w:val="00E67B2E"/>
    <w:rsid w:val="00E70A68"/>
    <w:rsid w:val="00E70AAB"/>
    <w:rsid w:val="00E71444"/>
    <w:rsid w:val="00E71A20"/>
    <w:rsid w:val="00E71B31"/>
    <w:rsid w:val="00E725B3"/>
    <w:rsid w:val="00E727CA"/>
    <w:rsid w:val="00E72EB7"/>
    <w:rsid w:val="00E7346D"/>
    <w:rsid w:val="00E746E7"/>
    <w:rsid w:val="00E753C6"/>
    <w:rsid w:val="00E7584E"/>
    <w:rsid w:val="00E75D25"/>
    <w:rsid w:val="00E75E7D"/>
    <w:rsid w:val="00E77645"/>
    <w:rsid w:val="00E77A84"/>
    <w:rsid w:val="00E77F8D"/>
    <w:rsid w:val="00E806BB"/>
    <w:rsid w:val="00E80CB7"/>
    <w:rsid w:val="00E81027"/>
    <w:rsid w:val="00E81EEF"/>
    <w:rsid w:val="00E8262F"/>
    <w:rsid w:val="00E82E90"/>
    <w:rsid w:val="00E8333E"/>
    <w:rsid w:val="00E833FA"/>
    <w:rsid w:val="00E83E65"/>
    <w:rsid w:val="00E84A85"/>
    <w:rsid w:val="00E8517E"/>
    <w:rsid w:val="00E85770"/>
    <w:rsid w:val="00E85C26"/>
    <w:rsid w:val="00E85D34"/>
    <w:rsid w:val="00E8671F"/>
    <w:rsid w:val="00E86A18"/>
    <w:rsid w:val="00E87874"/>
    <w:rsid w:val="00E906F5"/>
    <w:rsid w:val="00E924BA"/>
    <w:rsid w:val="00E928D3"/>
    <w:rsid w:val="00E92E18"/>
    <w:rsid w:val="00E94558"/>
    <w:rsid w:val="00E9491D"/>
    <w:rsid w:val="00E94CDE"/>
    <w:rsid w:val="00E95AC6"/>
    <w:rsid w:val="00E95E41"/>
    <w:rsid w:val="00E96BBE"/>
    <w:rsid w:val="00E97361"/>
    <w:rsid w:val="00E97376"/>
    <w:rsid w:val="00E97731"/>
    <w:rsid w:val="00E977CC"/>
    <w:rsid w:val="00EA0470"/>
    <w:rsid w:val="00EA0982"/>
    <w:rsid w:val="00EA0B4E"/>
    <w:rsid w:val="00EA1F26"/>
    <w:rsid w:val="00EA2576"/>
    <w:rsid w:val="00EA25C5"/>
    <w:rsid w:val="00EA3417"/>
    <w:rsid w:val="00EA3F11"/>
    <w:rsid w:val="00EA48D2"/>
    <w:rsid w:val="00EA5A37"/>
    <w:rsid w:val="00EA679A"/>
    <w:rsid w:val="00EA6F94"/>
    <w:rsid w:val="00EA7250"/>
    <w:rsid w:val="00EB0266"/>
    <w:rsid w:val="00EB04F4"/>
    <w:rsid w:val="00EB3492"/>
    <w:rsid w:val="00EB5A72"/>
    <w:rsid w:val="00EB6298"/>
    <w:rsid w:val="00EB6709"/>
    <w:rsid w:val="00EB7A39"/>
    <w:rsid w:val="00EC05C7"/>
    <w:rsid w:val="00EC0EA5"/>
    <w:rsid w:val="00EC139C"/>
    <w:rsid w:val="00EC1AD8"/>
    <w:rsid w:val="00EC1C66"/>
    <w:rsid w:val="00EC1D26"/>
    <w:rsid w:val="00EC2747"/>
    <w:rsid w:val="00EC36AA"/>
    <w:rsid w:val="00EC3BCD"/>
    <w:rsid w:val="00EC41A7"/>
    <w:rsid w:val="00EC4305"/>
    <w:rsid w:val="00EC433F"/>
    <w:rsid w:val="00EC47B9"/>
    <w:rsid w:val="00EC485A"/>
    <w:rsid w:val="00EC4A25"/>
    <w:rsid w:val="00EC53AF"/>
    <w:rsid w:val="00EC562B"/>
    <w:rsid w:val="00EC565F"/>
    <w:rsid w:val="00EC6725"/>
    <w:rsid w:val="00EC67C9"/>
    <w:rsid w:val="00EC74AC"/>
    <w:rsid w:val="00EC75FB"/>
    <w:rsid w:val="00ED030F"/>
    <w:rsid w:val="00ED085B"/>
    <w:rsid w:val="00ED1E80"/>
    <w:rsid w:val="00ED26A3"/>
    <w:rsid w:val="00ED2FAF"/>
    <w:rsid w:val="00ED3728"/>
    <w:rsid w:val="00ED3763"/>
    <w:rsid w:val="00ED5D6E"/>
    <w:rsid w:val="00ED617C"/>
    <w:rsid w:val="00ED64C6"/>
    <w:rsid w:val="00ED6523"/>
    <w:rsid w:val="00ED673C"/>
    <w:rsid w:val="00ED7010"/>
    <w:rsid w:val="00ED70AF"/>
    <w:rsid w:val="00ED798D"/>
    <w:rsid w:val="00EE03A5"/>
    <w:rsid w:val="00EE11CE"/>
    <w:rsid w:val="00EE2AD9"/>
    <w:rsid w:val="00EE2C80"/>
    <w:rsid w:val="00EE2CEC"/>
    <w:rsid w:val="00EE2DC6"/>
    <w:rsid w:val="00EE2F29"/>
    <w:rsid w:val="00EE34E0"/>
    <w:rsid w:val="00EE3CB3"/>
    <w:rsid w:val="00EE3D53"/>
    <w:rsid w:val="00EE4CDF"/>
    <w:rsid w:val="00EE52C2"/>
    <w:rsid w:val="00EE58FB"/>
    <w:rsid w:val="00EE6114"/>
    <w:rsid w:val="00EE63D1"/>
    <w:rsid w:val="00EE6E5A"/>
    <w:rsid w:val="00EE7F40"/>
    <w:rsid w:val="00EF11D2"/>
    <w:rsid w:val="00EF1555"/>
    <w:rsid w:val="00EF2701"/>
    <w:rsid w:val="00EF27F1"/>
    <w:rsid w:val="00EF2B0B"/>
    <w:rsid w:val="00EF31DA"/>
    <w:rsid w:val="00EF35E0"/>
    <w:rsid w:val="00EF558F"/>
    <w:rsid w:val="00EF5617"/>
    <w:rsid w:val="00EF56E1"/>
    <w:rsid w:val="00EF6498"/>
    <w:rsid w:val="00EF74C9"/>
    <w:rsid w:val="00EF7755"/>
    <w:rsid w:val="00F0092F"/>
    <w:rsid w:val="00F00B1F"/>
    <w:rsid w:val="00F01175"/>
    <w:rsid w:val="00F0143F"/>
    <w:rsid w:val="00F01465"/>
    <w:rsid w:val="00F025A2"/>
    <w:rsid w:val="00F02DEC"/>
    <w:rsid w:val="00F02F8F"/>
    <w:rsid w:val="00F03069"/>
    <w:rsid w:val="00F0320E"/>
    <w:rsid w:val="00F03B49"/>
    <w:rsid w:val="00F03D1A"/>
    <w:rsid w:val="00F04328"/>
    <w:rsid w:val="00F04329"/>
    <w:rsid w:val="00F04562"/>
    <w:rsid w:val="00F04DFA"/>
    <w:rsid w:val="00F06009"/>
    <w:rsid w:val="00F0638E"/>
    <w:rsid w:val="00F06F44"/>
    <w:rsid w:val="00F07388"/>
    <w:rsid w:val="00F07E7A"/>
    <w:rsid w:val="00F07F6D"/>
    <w:rsid w:val="00F10787"/>
    <w:rsid w:val="00F107D0"/>
    <w:rsid w:val="00F112CC"/>
    <w:rsid w:val="00F119A2"/>
    <w:rsid w:val="00F1216B"/>
    <w:rsid w:val="00F1254A"/>
    <w:rsid w:val="00F14072"/>
    <w:rsid w:val="00F1409D"/>
    <w:rsid w:val="00F157A7"/>
    <w:rsid w:val="00F1674D"/>
    <w:rsid w:val="00F16AB2"/>
    <w:rsid w:val="00F17D97"/>
    <w:rsid w:val="00F17D99"/>
    <w:rsid w:val="00F20126"/>
    <w:rsid w:val="00F2026E"/>
    <w:rsid w:val="00F2065F"/>
    <w:rsid w:val="00F20F9A"/>
    <w:rsid w:val="00F215B5"/>
    <w:rsid w:val="00F2210A"/>
    <w:rsid w:val="00F22234"/>
    <w:rsid w:val="00F225B9"/>
    <w:rsid w:val="00F2270A"/>
    <w:rsid w:val="00F22841"/>
    <w:rsid w:val="00F23480"/>
    <w:rsid w:val="00F24B00"/>
    <w:rsid w:val="00F25624"/>
    <w:rsid w:val="00F2586C"/>
    <w:rsid w:val="00F268F7"/>
    <w:rsid w:val="00F2744A"/>
    <w:rsid w:val="00F27972"/>
    <w:rsid w:val="00F33334"/>
    <w:rsid w:val="00F334B7"/>
    <w:rsid w:val="00F3420B"/>
    <w:rsid w:val="00F34C2F"/>
    <w:rsid w:val="00F3581E"/>
    <w:rsid w:val="00F358BC"/>
    <w:rsid w:val="00F358E8"/>
    <w:rsid w:val="00F35AFE"/>
    <w:rsid w:val="00F3679B"/>
    <w:rsid w:val="00F37093"/>
    <w:rsid w:val="00F37743"/>
    <w:rsid w:val="00F37850"/>
    <w:rsid w:val="00F4076B"/>
    <w:rsid w:val="00F42C3C"/>
    <w:rsid w:val="00F42E1F"/>
    <w:rsid w:val="00F42EDE"/>
    <w:rsid w:val="00F4396F"/>
    <w:rsid w:val="00F4455F"/>
    <w:rsid w:val="00F449B4"/>
    <w:rsid w:val="00F45432"/>
    <w:rsid w:val="00F457EF"/>
    <w:rsid w:val="00F45EE0"/>
    <w:rsid w:val="00F46212"/>
    <w:rsid w:val="00F46257"/>
    <w:rsid w:val="00F51887"/>
    <w:rsid w:val="00F52C17"/>
    <w:rsid w:val="00F5432B"/>
    <w:rsid w:val="00F547D4"/>
    <w:rsid w:val="00F54A3D"/>
    <w:rsid w:val="00F5506E"/>
    <w:rsid w:val="00F555F9"/>
    <w:rsid w:val="00F57F28"/>
    <w:rsid w:val="00F607D1"/>
    <w:rsid w:val="00F60BBE"/>
    <w:rsid w:val="00F615FC"/>
    <w:rsid w:val="00F63807"/>
    <w:rsid w:val="00F6430C"/>
    <w:rsid w:val="00F653B8"/>
    <w:rsid w:val="00F654BA"/>
    <w:rsid w:val="00F659E2"/>
    <w:rsid w:val="00F66B2C"/>
    <w:rsid w:val="00F66BB1"/>
    <w:rsid w:val="00F66BFE"/>
    <w:rsid w:val="00F671EA"/>
    <w:rsid w:val="00F677B9"/>
    <w:rsid w:val="00F67919"/>
    <w:rsid w:val="00F679FD"/>
    <w:rsid w:val="00F701D4"/>
    <w:rsid w:val="00F7124E"/>
    <w:rsid w:val="00F71DE0"/>
    <w:rsid w:val="00F71E87"/>
    <w:rsid w:val="00F7352D"/>
    <w:rsid w:val="00F73660"/>
    <w:rsid w:val="00F73725"/>
    <w:rsid w:val="00F747E9"/>
    <w:rsid w:val="00F749E2"/>
    <w:rsid w:val="00F7513B"/>
    <w:rsid w:val="00F75456"/>
    <w:rsid w:val="00F75638"/>
    <w:rsid w:val="00F75C4B"/>
    <w:rsid w:val="00F76F8F"/>
    <w:rsid w:val="00F77928"/>
    <w:rsid w:val="00F801FD"/>
    <w:rsid w:val="00F8057A"/>
    <w:rsid w:val="00F80FF4"/>
    <w:rsid w:val="00F81044"/>
    <w:rsid w:val="00F817D3"/>
    <w:rsid w:val="00F81848"/>
    <w:rsid w:val="00F81B23"/>
    <w:rsid w:val="00F82D0E"/>
    <w:rsid w:val="00F8499D"/>
    <w:rsid w:val="00F84D7B"/>
    <w:rsid w:val="00F864BB"/>
    <w:rsid w:val="00F877F7"/>
    <w:rsid w:val="00F90CF7"/>
    <w:rsid w:val="00F914DF"/>
    <w:rsid w:val="00F91559"/>
    <w:rsid w:val="00F92207"/>
    <w:rsid w:val="00F92557"/>
    <w:rsid w:val="00F93232"/>
    <w:rsid w:val="00F93416"/>
    <w:rsid w:val="00F93A72"/>
    <w:rsid w:val="00F95600"/>
    <w:rsid w:val="00F966D0"/>
    <w:rsid w:val="00FA0055"/>
    <w:rsid w:val="00FA0D00"/>
    <w:rsid w:val="00FA1266"/>
    <w:rsid w:val="00FA2488"/>
    <w:rsid w:val="00FA2A7A"/>
    <w:rsid w:val="00FA2C4D"/>
    <w:rsid w:val="00FA2F71"/>
    <w:rsid w:val="00FA3291"/>
    <w:rsid w:val="00FA32DB"/>
    <w:rsid w:val="00FA32DD"/>
    <w:rsid w:val="00FA3F5F"/>
    <w:rsid w:val="00FA48ED"/>
    <w:rsid w:val="00FA4C16"/>
    <w:rsid w:val="00FA61E0"/>
    <w:rsid w:val="00FA6D7F"/>
    <w:rsid w:val="00FA75BC"/>
    <w:rsid w:val="00FA798C"/>
    <w:rsid w:val="00FB04CE"/>
    <w:rsid w:val="00FB1065"/>
    <w:rsid w:val="00FB2380"/>
    <w:rsid w:val="00FB29DA"/>
    <w:rsid w:val="00FB3F1F"/>
    <w:rsid w:val="00FB5AFC"/>
    <w:rsid w:val="00FB6285"/>
    <w:rsid w:val="00FB6D69"/>
    <w:rsid w:val="00FB6ED7"/>
    <w:rsid w:val="00FB7848"/>
    <w:rsid w:val="00FB79E3"/>
    <w:rsid w:val="00FC0091"/>
    <w:rsid w:val="00FC015C"/>
    <w:rsid w:val="00FC0696"/>
    <w:rsid w:val="00FC0F13"/>
    <w:rsid w:val="00FC1192"/>
    <w:rsid w:val="00FC143B"/>
    <w:rsid w:val="00FC2286"/>
    <w:rsid w:val="00FC2675"/>
    <w:rsid w:val="00FC2CF4"/>
    <w:rsid w:val="00FC314E"/>
    <w:rsid w:val="00FC346E"/>
    <w:rsid w:val="00FC36D2"/>
    <w:rsid w:val="00FC3782"/>
    <w:rsid w:val="00FC3D0D"/>
    <w:rsid w:val="00FC4447"/>
    <w:rsid w:val="00FC4EC6"/>
    <w:rsid w:val="00FC64D8"/>
    <w:rsid w:val="00FC6E64"/>
    <w:rsid w:val="00FC7711"/>
    <w:rsid w:val="00FC7FD9"/>
    <w:rsid w:val="00FD0250"/>
    <w:rsid w:val="00FD059A"/>
    <w:rsid w:val="00FD090D"/>
    <w:rsid w:val="00FD1E67"/>
    <w:rsid w:val="00FD31D6"/>
    <w:rsid w:val="00FD3230"/>
    <w:rsid w:val="00FD3A52"/>
    <w:rsid w:val="00FD3CF5"/>
    <w:rsid w:val="00FD50D0"/>
    <w:rsid w:val="00FD6922"/>
    <w:rsid w:val="00FD6CCD"/>
    <w:rsid w:val="00FD708E"/>
    <w:rsid w:val="00FD751D"/>
    <w:rsid w:val="00FD7799"/>
    <w:rsid w:val="00FE0030"/>
    <w:rsid w:val="00FE0269"/>
    <w:rsid w:val="00FE0881"/>
    <w:rsid w:val="00FE0C70"/>
    <w:rsid w:val="00FE18A3"/>
    <w:rsid w:val="00FE1AFA"/>
    <w:rsid w:val="00FE26BF"/>
    <w:rsid w:val="00FE2D41"/>
    <w:rsid w:val="00FE3495"/>
    <w:rsid w:val="00FE4F17"/>
    <w:rsid w:val="00FE562A"/>
    <w:rsid w:val="00FE5A02"/>
    <w:rsid w:val="00FE685D"/>
    <w:rsid w:val="00FE72A8"/>
    <w:rsid w:val="00FF0485"/>
    <w:rsid w:val="00FF0ACF"/>
    <w:rsid w:val="00FF1A76"/>
    <w:rsid w:val="00FF2031"/>
    <w:rsid w:val="00FF30DF"/>
    <w:rsid w:val="00FF3411"/>
    <w:rsid w:val="00FF350E"/>
    <w:rsid w:val="00FF388E"/>
    <w:rsid w:val="00FF433C"/>
    <w:rsid w:val="00FF45F2"/>
    <w:rsid w:val="00FF4921"/>
    <w:rsid w:val="00FF4999"/>
    <w:rsid w:val="00FF4C2F"/>
    <w:rsid w:val="00FF4EA0"/>
    <w:rsid w:val="00FF5235"/>
    <w:rsid w:val="00FF547B"/>
    <w:rsid w:val="00FF55A4"/>
    <w:rsid w:val="00FF59B2"/>
    <w:rsid w:val="00FF61EE"/>
    <w:rsid w:val="00FF6A07"/>
    <w:rsid w:val="00FF76F3"/>
    <w:rsid w:val="015F5E5A"/>
    <w:rsid w:val="019361DA"/>
    <w:rsid w:val="03349185"/>
    <w:rsid w:val="04075ADD"/>
    <w:rsid w:val="045F4D1D"/>
    <w:rsid w:val="04C7F983"/>
    <w:rsid w:val="04EC9C59"/>
    <w:rsid w:val="05ACEE5C"/>
    <w:rsid w:val="066D49E1"/>
    <w:rsid w:val="07CB744F"/>
    <w:rsid w:val="0850D7C8"/>
    <w:rsid w:val="08DDBA4A"/>
    <w:rsid w:val="0A6DF141"/>
    <w:rsid w:val="0CE8A342"/>
    <w:rsid w:val="0D84528E"/>
    <w:rsid w:val="0D9AABAD"/>
    <w:rsid w:val="0DC2DCB9"/>
    <w:rsid w:val="0DE7FA28"/>
    <w:rsid w:val="0E6FCDC7"/>
    <w:rsid w:val="0EB0D7EA"/>
    <w:rsid w:val="0ED5F8AD"/>
    <w:rsid w:val="0F3B683C"/>
    <w:rsid w:val="0F4A8553"/>
    <w:rsid w:val="112B5BC2"/>
    <w:rsid w:val="12254B09"/>
    <w:rsid w:val="123CEF7C"/>
    <w:rsid w:val="13A2ED6B"/>
    <w:rsid w:val="14381F02"/>
    <w:rsid w:val="15D3EF63"/>
    <w:rsid w:val="161F6207"/>
    <w:rsid w:val="162E80E0"/>
    <w:rsid w:val="18201F5F"/>
    <w:rsid w:val="18B2CB69"/>
    <w:rsid w:val="1C4330E7"/>
    <w:rsid w:val="1D7CE6FD"/>
    <w:rsid w:val="1DB88313"/>
    <w:rsid w:val="1DC9B762"/>
    <w:rsid w:val="22994A0E"/>
    <w:rsid w:val="242A9085"/>
    <w:rsid w:val="2495D9D7"/>
    <w:rsid w:val="2783BFD7"/>
    <w:rsid w:val="2A54D1D9"/>
    <w:rsid w:val="2A556830"/>
    <w:rsid w:val="2A7DA224"/>
    <w:rsid w:val="2AEF4D7E"/>
    <w:rsid w:val="2BAC66A2"/>
    <w:rsid w:val="2BC9CBB0"/>
    <w:rsid w:val="2D7D26D2"/>
    <w:rsid w:val="2F8F6467"/>
    <w:rsid w:val="2FA845E5"/>
    <w:rsid w:val="3161D3C3"/>
    <w:rsid w:val="31A4E02C"/>
    <w:rsid w:val="3245CCC2"/>
    <w:rsid w:val="324B2869"/>
    <w:rsid w:val="33A330CB"/>
    <w:rsid w:val="3452B1F4"/>
    <w:rsid w:val="3567879C"/>
    <w:rsid w:val="36DBBA6A"/>
    <w:rsid w:val="385023B9"/>
    <w:rsid w:val="38A18FA4"/>
    <w:rsid w:val="39E03E13"/>
    <w:rsid w:val="3C211E8D"/>
    <w:rsid w:val="3C759F90"/>
    <w:rsid w:val="40C0E67A"/>
    <w:rsid w:val="415500C0"/>
    <w:rsid w:val="440CD8A6"/>
    <w:rsid w:val="4565E87F"/>
    <w:rsid w:val="48A1D37D"/>
    <w:rsid w:val="4A9F462C"/>
    <w:rsid w:val="4AD7379F"/>
    <w:rsid w:val="4AEE33F2"/>
    <w:rsid w:val="4B631DBB"/>
    <w:rsid w:val="4B98619D"/>
    <w:rsid w:val="4C9F7936"/>
    <w:rsid w:val="4D93F655"/>
    <w:rsid w:val="4EB66047"/>
    <w:rsid w:val="4FB48E30"/>
    <w:rsid w:val="51745EF4"/>
    <w:rsid w:val="51B6F965"/>
    <w:rsid w:val="52C26291"/>
    <w:rsid w:val="5363F1BA"/>
    <w:rsid w:val="53EF5605"/>
    <w:rsid w:val="54629CCC"/>
    <w:rsid w:val="55C63D30"/>
    <w:rsid w:val="58F03F8B"/>
    <w:rsid w:val="59A4A1E2"/>
    <w:rsid w:val="5B791779"/>
    <w:rsid w:val="5C6183C5"/>
    <w:rsid w:val="5C9489D1"/>
    <w:rsid w:val="5CA001E5"/>
    <w:rsid w:val="5CB1CC16"/>
    <w:rsid w:val="5D06663E"/>
    <w:rsid w:val="5D12E6D7"/>
    <w:rsid w:val="5D776933"/>
    <w:rsid w:val="5F08FF49"/>
    <w:rsid w:val="5FF4B322"/>
    <w:rsid w:val="6031C3B6"/>
    <w:rsid w:val="60DE754B"/>
    <w:rsid w:val="6190CA19"/>
    <w:rsid w:val="61C99FF2"/>
    <w:rsid w:val="63E77457"/>
    <w:rsid w:val="64DD69A0"/>
    <w:rsid w:val="67D946D2"/>
    <w:rsid w:val="681565B0"/>
    <w:rsid w:val="68730A17"/>
    <w:rsid w:val="68AD7228"/>
    <w:rsid w:val="6B9FD541"/>
    <w:rsid w:val="6BBA2194"/>
    <w:rsid w:val="6C066E93"/>
    <w:rsid w:val="6C0BFF9A"/>
    <w:rsid w:val="6D0F7D9D"/>
    <w:rsid w:val="70BAC30A"/>
    <w:rsid w:val="743BD13A"/>
    <w:rsid w:val="74B0636E"/>
    <w:rsid w:val="74EF1075"/>
    <w:rsid w:val="74F63504"/>
    <w:rsid w:val="7526EBB3"/>
    <w:rsid w:val="75344B46"/>
    <w:rsid w:val="76022E21"/>
    <w:rsid w:val="78572F42"/>
    <w:rsid w:val="78A4F365"/>
    <w:rsid w:val="79B2EDF4"/>
    <w:rsid w:val="79C377AA"/>
    <w:rsid w:val="7AAB1323"/>
    <w:rsid w:val="7B36617F"/>
    <w:rsid w:val="7BBEBC64"/>
    <w:rsid w:val="7BC15266"/>
    <w:rsid w:val="7C91691E"/>
    <w:rsid w:val="7D0499BE"/>
    <w:rsid w:val="7E546E2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v:textbox inset="5.85pt,.7pt,5.85pt,.7pt"/>
    </o:shapedefaults>
    <o:shapelayout v:ext="edit">
      <o:idmap v:ext="edit" data="2"/>
    </o:shapelayout>
  </w:shapeDefaults>
  <w:decimalSymbol w:val="."/>
  <w:listSeparator w:val=","/>
  <w14:docId w14:val="6D64FFFF"/>
  <w15:chartTrackingRefBased/>
  <w15:docId w15:val="{D50AA003-B183-4199-993C-E3D72D867B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llowedHyperlink">
    <w:name w:val="FollowedHyperlink"/>
    <w:rPr>
      <w:color w:val="954F72"/>
      <w:u w:val="single"/>
    </w:rPr>
  </w:style>
  <w:style w:type="character" w:styleId="EndnoteReference">
    <w:name w:val="endnote reference"/>
    <w:rPr>
      <w:vertAlign w:val="superscript"/>
    </w:rPr>
  </w:style>
  <w:style w:type="character" w:styleId="Hyperlink">
    <w:name w:val="Hyperlink"/>
    <w:rPr>
      <w:color w:val="0000FF"/>
      <w:u w:val="single"/>
    </w:rPr>
  </w:style>
  <w:style w:type="character" w:styleId="CommentReference">
    <w:name w:val="annotation reference"/>
    <w:rPr>
      <w:sz w:val="16"/>
      <w:szCs w:val="16"/>
    </w:rPr>
  </w:style>
  <w:style w:type="character" w:styleId="FootnoteReference">
    <w:name w:val="footnote reference"/>
    <w:rPr>
      <w:vertAlign w:val="superscript"/>
    </w:rPr>
  </w:style>
  <w:style w:type="character" w:customStyle="1" w:styleId="FootnoteTextChar">
    <w:name w:val="Footnote Text Char"/>
    <w:link w:val="FootnoteText"/>
    <w:rPr>
      <w:lang w:val="en-GB"/>
    </w:rPr>
  </w:style>
  <w:style w:type="character" w:customStyle="1" w:styleId="Heading3Char">
    <w:name w:val="Heading 3 Char"/>
    <w:link w:val="Heading3"/>
    <w:rPr>
      <w:rFonts w:ascii="Arial" w:hAnsi="Arial"/>
      <w:sz w:val="28"/>
      <w:lang w:eastAsia="en-US"/>
    </w:rPr>
  </w:style>
  <w:style w:type="character" w:customStyle="1" w:styleId="B1Zchn">
    <w:name w:val="B1 Zchn"/>
    <w:locked/>
    <w:rPr>
      <w:lang w:val="en-GB" w:eastAsia="en-US"/>
    </w:rPr>
  </w:style>
  <w:style w:type="character" w:customStyle="1" w:styleId="CRCoverPageZchn">
    <w:name w:val="CR Cover Page Zchn"/>
    <w:link w:val="CRCoverPage"/>
    <w:rPr>
      <w:rFonts w:ascii="Arial" w:eastAsia="MS Mincho" w:hAnsi="Arial"/>
      <w:lang w:eastAsia="en-US"/>
    </w:rPr>
  </w:style>
  <w:style w:type="character" w:customStyle="1" w:styleId="BalloonTextChar">
    <w:name w:val="Balloon Text Char"/>
    <w:link w:val="BalloonText"/>
    <w:rPr>
      <w:rFonts w:ascii="Segoe UI" w:hAnsi="Segoe UI" w:cs="Segoe UI"/>
      <w:sz w:val="18"/>
      <w:szCs w:val="18"/>
      <w:lang w:eastAsia="en-US"/>
    </w:rPr>
  </w:style>
  <w:style w:type="character" w:customStyle="1" w:styleId="Heading2Char">
    <w:name w:val="Heading 2 Char"/>
    <w:link w:val="Heading2"/>
    <w:rPr>
      <w:rFonts w:ascii="Arial" w:hAnsi="Arial"/>
      <w:sz w:val="32"/>
      <w:lang w:val="en-GB"/>
    </w:rPr>
  </w:style>
  <w:style w:type="character" w:customStyle="1" w:styleId="TFChar">
    <w:name w:val="TF Char"/>
    <w:link w:val="TF"/>
    <w:rPr>
      <w:rFonts w:ascii="Arial" w:hAnsi="Arial"/>
      <w:b/>
      <w:lang w:eastAsia="en-US"/>
    </w:rPr>
  </w:style>
  <w:style w:type="character" w:customStyle="1" w:styleId="HeaderChar">
    <w:name w:val="Header Char"/>
    <w:link w:val="Header"/>
    <w:rPr>
      <w:rFonts w:ascii="Arial" w:hAnsi="Arial"/>
      <w:b/>
      <w:sz w:val="18"/>
      <w:lang w:val="en-GB" w:eastAsia="ja-JP" w:bidi="ar-SA"/>
    </w:rPr>
  </w:style>
  <w:style w:type="character" w:customStyle="1" w:styleId="EditorsNoteChar">
    <w:name w:val="Editor's Note Char"/>
    <w:link w:val="EditorsNote"/>
    <w:rPr>
      <w:color w:val="FF0000"/>
      <w:lang w:eastAsia="en-US"/>
    </w:rPr>
  </w:style>
  <w:style w:type="character" w:customStyle="1" w:styleId="CommentSubjectChar">
    <w:name w:val="Comment Subject Char"/>
    <w:link w:val="CommentSubject"/>
    <w:rPr>
      <w:b/>
      <w:bCs/>
      <w:lang w:eastAsia="en-US"/>
    </w:rPr>
  </w:style>
  <w:style w:type="character" w:customStyle="1" w:styleId="ZGSM">
    <w:name w:val="ZGSM"/>
  </w:style>
  <w:style w:type="character" w:customStyle="1" w:styleId="NOZchn">
    <w:name w:val="NO Zchn"/>
    <w:link w:val="NO"/>
    <w:rPr>
      <w:lang w:eastAsia="en-US"/>
    </w:rPr>
  </w:style>
  <w:style w:type="character" w:customStyle="1" w:styleId="TALChar">
    <w:name w:val="TAL Char"/>
    <w:link w:val="TAL"/>
    <w:qFormat/>
    <w:rPr>
      <w:rFonts w:ascii="Arial" w:hAnsi="Arial"/>
      <w:sz w:val="18"/>
      <w:lang w:eastAsia="en-US"/>
    </w:rPr>
  </w:style>
  <w:style w:type="character" w:customStyle="1" w:styleId="CommentTextChar">
    <w:name w:val="Comment Text Char"/>
    <w:link w:val="CommentText"/>
    <w:rPr>
      <w:lang w:eastAsia="en-US"/>
    </w:rPr>
  </w:style>
  <w:style w:type="character" w:customStyle="1" w:styleId="THChar">
    <w:name w:val="TH Char"/>
    <w:link w:val="TH"/>
    <w:qFormat/>
    <w:rPr>
      <w:rFonts w:ascii="Arial" w:hAnsi="Arial"/>
      <w:b/>
      <w:lang w:eastAsia="en-US"/>
    </w:rPr>
  </w:style>
  <w:style w:type="character" w:customStyle="1" w:styleId="B1Char">
    <w:name w:val="B1 Char"/>
    <w:link w:val="B1"/>
    <w:qFormat/>
    <w:rPr>
      <w:lang w:eastAsia="en-US"/>
    </w:rPr>
  </w:style>
  <w:style w:type="character" w:customStyle="1" w:styleId="Heading1Char">
    <w:name w:val="Heading 1 Char"/>
    <w:link w:val="Heading1"/>
    <w:rPr>
      <w:rFonts w:ascii="Arial" w:hAnsi="Arial"/>
      <w:sz w:val="36"/>
      <w:lang w:eastAsia="en-US"/>
    </w:rPr>
  </w:style>
  <w:style w:type="character" w:customStyle="1" w:styleId="NOChar">
    <w:name w:val="NO Char"/>
    <w:rPr>
      <w:lang w:val="en-GB" w:eastAsia="en-US"/>
    </w:rPr>
  </w:style>
  <w:style w:type="character" w:customStyle="1" w:styleId="TAHChar">
    <w:name w:val="TAH Char"/>
    <w:link w:val="TAH"/>
    <w:qFormat/>
    <w:rPr>
      <w:rFonts w:ascii="Arial" w:hAnsi="Arial"/>
      <w:b/>
      <w:sz w:val="18"/>
      <w:lang w:val="en-GB"/>
    </w:rPr>
  </w:style>
  <w:style w:type="character" w:customStyle="1" w:styleId="EndnoteTextChar">
    <w:name w:val="Endnote Text Char"/>
    <w:link w:val="EndnoteText"/>
    <w:rPr>
      <w:lang w:val="en-GB"/>
    </w:rPr>
  </w:style>
  <w:style w:type="character" w:customStyle="1" w:styleId="B2Char">
    <w:name w:val="B2 Char"/>
    <w:link w:val="B2"/>
    <w:qFormat/>
    <w:locked/>
    <w:rPr>
      <w:lang w:val="en-GB"/>
    </w:rPr>
  </w:style>
  <w:style w:type="paragraph" w:styleId="BalloonText">
    <w:name w:val="Balloon Text"/>
    <w:basedOn w:val="Normal"/>
    <w:link w:val="BalloonTextChar"/>
    <w:pPr>
      <w:spacing w:after="0"/>
    </w:pPr>
    <w:rPr>
      <w:rFonts w:ascii="Segoe UI" w:hAnsi="Segoe UI" w:cs="Segoe UI"/>
      <w:sz w:val="18"/>
      <w:szCs w:val="18"/>
    </w:rPr>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val="en-GB" w:eastAsia="ja-JP"/>
    </w:rPr>
  </w:style>
  <w:style w:type="paragraph" w:styleId="CommentSubject">
    <w:name w:val="annotation subject"/>
    <w:basedOn w:val="CommentText"/>
    <w:next w:val="CommentText"/>
    <w:link w:val="CommentSubjectChar"/>
    <w:rPr>
      <w:b/>
      <w:bCs/>
    </w:rPr>
  </w:style>
  <w:style w:type="paragraph" w:styleId="TOC2">
    <w:name w:val="toc 2"/>
    <w:basedOn w:val="TOC1"/>
    <w:semiHidden/>
    <w:pPr>
      <w:keepNext w:val="0"/>
      <w:spacing w:before="0"/>
      <w:ind w:left="851" w:hanging="851"/>
    </w:pPr>
    <w:rPr>
      <w:sz w:val="20"/>
    </w:rPr>
  </w:style>
  <w:style w:type="paragraph" w:styleId="TOC4">
    <w:name w:val="toc 4"/>
    <w:basedOn w:val="TOC3"/>
    <w:semiHidden/>
    <w:pPr>
      <w:ind w:left="1418" w:hanging="1418"/>
    </w:pPr>
  </w:style>
  <w:style w:type="paragraph" w:styleId="NormalWeb">
    <w:name w:val="Normal (Web)"/>
    <w:basedOn w:val="Normal"/>
    <w:uiPriority w:val="99"/>
    <w:unhideWhenUsed/>
    <w:pPr>
      <w:spacing w:before="100" w:beforeAutospacing="1" w:after="100" w:afterAutospacing="1"/>
    </w:pPr>
    <w:rPr>
      <w:rFonts w:ascii="SimSun" w:hAnsi="SimSun" w:cs="SimSun"/>
      <w:sz w:val="24"/>
      <w:szCs w:val="24"/>
      <w:lang w:val="en-US" w:eastAsia="zh-CN"/>
    </w:rPr>
  </w:style>
  <w:style w:type="paragraph" w:styleId="EndnoteText">
    <w:name w:val="endnote text"/>
    <w:basedOn w:val="Normal"/>
    <w:link w:val="EndnoteTextChar"/>
  </w:style>
  <w:style w:type="paragraph" w:styleId="TOC8">
    <w:name w:val="toc 8"/>
    <w:basedOn w:val="TOC1"/>
    <w:semiHidden/>
    <w:pPr>
      <w:spacing w:before="180"/>
      <w:ind w:left="2693" w:hanging="2693"/>
    </w:pPr>
    <w:rPr>
      <w:b/>
    </w:rPr>
  </w:style>
  <w:style w:type="paragraph" w:styleId="CommentText">
    <w:name w:val="annotation text"/>
    <w:basedOn w:val="Normal"/>
    <w:link w:val="CommentTextChar"/>
  </w:style>
  <w:style w:type="paragraph" w:styleId="TOC1">
    <w:name w:val="toc 1"/>
    <w:semiHidden/>
    <w:pPr>
      <w:keepNext/>
      <w:keepLines/>
      <w:widowControl w:val="0"/>
      <w:tabs>
        <w:tab w:val="right" w:leader="dot" w:pos="9639"/>
      </w:tabs>
      <w:spacing w:before="120"/>
      <w:ind w:left="567" w:right="425" w:hanging="567"/>
    </w:pPr>
    <w:rPr>
      <w:sz w:val="22"/>
      <w:lang w:val="en-GB"/>
    </w:rPr>
  </w:style>
  <w:style w:type="paragraph" w:styleId="TOC3">
    <w:name w:val="toc 3"/>
    <w:basedOn w:val="TOC2"/>
    <w:semiHidden/>
    <w:pPr>
      <w:ind w:left="1134" w:hanging="1134"/>
    </w:pPr>
  </w:style>
  <w:style w:type="paragraph" w:styleId="TOC6">
    <w:name w:val="toc 6"/>
    <w:basedOn w:val="TOC5"/>
    <w:next w:val="Normal"/>
    <w:semiHidden/>
    <w:pPr>
      <w:ind w:left="1985" w:hanging="1985"/>
    </w:pPr>
  </w:style>
  <w:style w:type="paragraph" w:styleId="Footer">
    <w:name w:val="footer"/>
    <w:basedOn w:val="Header"/>
    <w:pPr>
      <w:jc w:val="center"/>
    </w:pPr>
    <w:rPr>
      <w:i/>
    </w:rPr>
  </w:style>
  <w:style w:type="paragraph" w:styleId="TOC7">
    <w:name w:val="toc 7"/>
    <w:basedOn w:val="TOC6"/>
    <w:next w:val="Normal"/>
    <w:semiHidden/>
    <w:pPr>
      <w:ind w:left="2268" w:hanging="2268"/>
    </w:pPr>
  </w:style>
  <w:style w:type="paragraph" w:styleId="TOC5">
    <w:name w:val="toc 5"/>
    <w:basedOn w:val="TOC4"/>
    <w:semiHidden/>
    <w:pPr>
      <w:ind w:left="1701" w:hanging="1701"/>
    </w:pPr>
  </w:style>
  <w:style w:type="paragraph" w:styleId="TOC9">
    <w:name w:val="toc 9"/>
    <w:basedOn w:val="TOC8"/>
    <w:semiHidden/>
    <w:pPr>
      <w:ind w:left="1418" w:hanging="1418"/>
    </w:pPr>
  </w:style>
  <w:style w:type="paragraph" w:styleId="FootnoteText">
    <w:name w:val="footnote text"/>
    <w:basedOn w:val="Normal"/>
    <w:link w:val="FootnoteTextChar"/>
  </w:style>
  <w:style w:type="paragraph" w:customStyle="1" w:styleId="H6">
    <w:name w:val="H6"/>
    <w:basedOn w:val="Heading5"/>
    <w:next w:val="Normal"/>
    <w:pPr>
      <w:ind w:left="1985" w:hanging="1985"/>
      <w:outlineLvl w:val="9"/>
    </w:pPr>
    <w:rPr>
      <w:sz w:val="20"/>
    </w:rPr>
  </w:style>
  <w:style w:type="paragraph" w:customStyle="1" w:styleId="EQ">
    <w:name w:val="EQ"/>
    <w:basedOn w:val="Normal"/>
    <w:next w:val="Normal"/>
    <w:pPr>
      <w:keepLines/>
      <w:tabs>
        <w:tab w:val="center" w:pos="4536"/>
        <w:tab w:val="right" w:pos="9072"/>
      </w:tabs>
    </w:pPr>
    <w:rPr>
      <w:lang w:val="en-US"/>
    </w:rPr>
  </w:style>
  <w:style w:type="paragraph" w:customStyle="1" w:styleId="ZD">
    <w:name w:val="ZD"/>
    <w:pPr>
      <w:framePr w:wrap="notBeside" w:vAnchor="page" w:hAnchor="margin" w:y="15764"/>
      <w:widowControl w:val="0"/>
    </w:pPr>
    <w:rPr>
      <w:rFonts w:ascii="Arial" w:hAnsi="Arial"/>
      <w:sz w:val="32"/>
      <w:lang w:val="en-GB"/>
    </w:rPr>
  </w:style>
  <w:style w:type="paragraph" w:customStyle="1" w:styleId="TT">
    <w:name w:val="TT"/>
    <w:basedOn w:val="Heading1"/>
    <w:next w:val="Normal"/>
    <w:pPr>
      <w:outlineLvl w:val="9"/>
    </w:pPr>
  </w:style>
  <w:style w:type="paragraph" w:customStyle="1" w:styleId="B3">
    <w:name w:val="B3"/>
    <w:basedOn w:val="Normal"/>
    <w:pPr>
      <w:ind w:left="1135" w:hanging="284"/>
    </w:pPr>
  </w:style>
  <w:style w:type="paragraph" w:customStyle="1" w:styleId="ZH">
    <w:name w:val="ZH"/>
    <w:pPr>
      <w:framePr w:wrap="notBeside" w:vAnchor="page" w:hAnchor="margin" w:xAlign="center" w:y="6805"/>
      <w:widowControl w:val="0"/>
    </w:pPr>
    <w:rPr>
      <w:rFonts w:ascii="Arial" w:hAnsi="Arial"/>
      <w:lang w:val="en-GB"/>
    </w:rPr>
  </w:style>
  <w:style w:type="paragraph" w:customStyle="1" w:styleId="B1">
    <w:name w:val="B1"/>
    <w:basedOn w:val="Normal"/>
    <w:link w:val="B1Char"/>
    <w:qFormat/>
    <w:pPr>
      <w:ind w:left="568" w:hanging="284"/>
    </w:pPr>
  </w:style>
  <w:style w:type="paragraph" w:customStyle="1" w:styleId="EX">
    <w:name w:val="EX"/>
    <w:basedOn w:val="Normal"/>
    <w:pPr>
      <w:keepLines/>
      <w:ind w:left="1702" w:hanging="1418"/>
    </w:pPr>
  </w:style>
  <w:style w:type="paragraph" w:customStyle="1" w:styleId="NF">
    <w:name w:val="NF"/>
    <w:basedOn w:val="NO"/>
    <w:pPr>
      <w:keepNext/>
      <w:spacing w:after="0"/>
    </w:pPr>
    <w:rPr>
      <w:rFonts w:ascii="Arial" w:hAnsi="Arial"/>
      <w:sz w:val="18"/>
    </w:rPr>
  </w:style>
  <w:style w:type="paragraph" w:customStyle="1" w:styleId="B4">
    <w:name w:val="B4"/>
    <w:basedOn w:val="Normal"/>
    <w:pPr>
      <w:ind w:left="1418" w:hanging="284"/>
    </w:pPr>
  </w:style>
  <w:style w:type="paragraph" w:customStyle="1" w:styleId="EditorsNote">
    <w:name w:val="Editor's Note"/>
    <w:basedOn w:val="NO"/>
    <w:link w:val="EditorsNoteChar"/>
    <w:qFormat/>
    <w:rPr>
      <w:color w:val="FF0000"/>
    </w:rPr>
  </w:style>
  <w:style w:type="paragraph" w:customStyle="1" w:styleId="FP">
    <w:name w:val="FP"/>
    <w:basedOn w:val="Normal"/>
    <w:pPr>
      <w:spacing w:after="0"/>
    </w:pPr>
  </w:style>
  <w:style w:type="paragraph" w:styleId="ListParagraph">
    <w:name w:val="List Paragraph"/>
    <w:basedOn w:val="Normal"/>
    <w:uiPriority w:val="34"/>
    <w:qFormat/>
    <w:pPr>
      <w:ind w:left="720"/>
      <w:contextualSpacing/>
    </w:pPr>
  </w:style>
  <w:style w:type="paragraph" w:customStyle="1" w:styleId="NO">
    <w:name w:val="NO"/>
    <w:basedOn w:val="Normal"/>
    <w:link w:val="NOZchn"/>
    <w:pPr>
      <w:keepLines/>
      <w:ind w:left="1135" w:hanging="851"/>
    </w:pPr>
  </w:style>
  <w:style w:type="paragraph" w:customStyle="1" w:styleId="NW">
    <w:name w:val="NW"/>
    <w:basedOn w:val="NO"/>
    <w:pPr>
      <w:spacing w:after="0"/>
    </w:pPr>
  </w:style>
  <w:style w:type="paragraph" w:customStyle="1" w:styleId="TAC">
    <w:name w:val="TAC"/>
    <w:basedOn w:val="TAL"/>
    <w:link w:val="TACChar"/>
    <w:qFormat/>
    <w:pPr>
      <w:jc w:val="center"/>
    </w:pPr>
  </w:style>
  <w:style w:type="paragraph" w:styleId="NoSpacing">
    <w:name w:val="No Spacing"/>
    <w:basedOn w:val="Normal"/>
    <w:uiPriority w:val="1"/>
    <w:qFormat/>
    <w:pPr>
      <w:spacing w:after="0"/>
    </w:pPr>
    <w:rPr>
      <w:rFonts w:ascii="Calibri" w:eastAsia="Calibri" w:hAnsi="Calibri"/>
      <w:sz w:val="22"/>
      <w:szCs w:val="22"/>
      <w:lang w:val="en-US" w:eastAsia="en-GB"/>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B2">
    <w:name w:val="B2"/>
    <w:basedOn w:val="Normal"/>
    <w:link w:val="B2Char"/>
    <w:qFormat/>
    <w:pPr>
      <w:ind w:left="851" w:hanging="284"/>
    </w:pPr>
  </w:style>
  <w:style w:type="paragraph" w:customStyle="1" w:styleId="TAN">
    <w:name w:val="TAN"/>
    <w:basedOn w:val="TAL"/>
    <w:pPr>
      <w:ind w:left="851" w:hanging="851"/>
    </w:pPr>
  </w:style>
  <w:style w:type="paragraph" w:customStyle="1" w:styleId="EW">
    <w:name w:val="EW"/>
    <w:basedOn w:val="EX"/>
    <w:pPr>
      <w:spacing w:after="0"/>
    </w:pPr>
  </w:style>
  <w:style w:type="paragraph" w:customStyle="1" w:styleId="LD">
    <w:name w:val="LD"/>
    <w:pPr>
      <w:keepNext/>
      <w:keepLines/>
      <w:spacing w:line="180" w:lineRule="exact"/>
    </w:pPr>
    <w:rPr>
      <w:rFonts w:ascii="Courier New" w:hAnsi="Courier New"/>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TAH">
    <w:name w:val="TAH"/>
    <w:basedOn w:val="TAC"/>
    <w:link w:val="TAHChar"/>
    <w:qFormat/>
    <w:rPr>
      <w:b/>
    </w:rPr>
  </w:style>
  <w:style w:type="paragraph" w:customStyle="1" w:styleId="ZG">
    <w:name w:val="ZG"/>
    <w:pPr>
      <w:framePr w:wrap="notBeside" w:vAnchor="page" w:hAnchor="margin" w:xAlign="right" w:y="6805"/>
      <w:widowControl w:val="0"/>
      <w:jc w:val="right"/>
    </w:pPr>
    <w:rPr>
      <w:rFonts w:ascii="Arial" w:hAnsi="Arial"/>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lang w:val="en-GB"/>
    </w:r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customStyle="1" w:styleId="CRCoverPage">
    <w:name w:val="CR Cover Page"/>
    <w:link w:val="CRCoverPageZchn"/>
    <w:pPr>
      <w:spacing w:after="120"/>
    </w:pPr>
    <w:rPr>
      <w:rFonts w:ascii="Arial" w:eastAsia="MS Mincho" w:hAnsi="Arial"/>
      <w:lang w:val="en-GB"/>
    </w:rPr>
  </w:style>
  <w:style w:type="paragraph" w:styleId="Revision">
    <w:name w:val="Revision"/>
    <w:uiPriority w:val="99"/>
    <w:semiHidden/>
    <w:rPr>
      <w:lang w:val="en-GB"/>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locked/>
    <w:rsid w:val="00F45EE0"/>
    <w:rPr>
      <w:rFonts w:ascii="Arial" w:hAnsi="Arial"/>
      <w:sz w:val="18"/>
      <w:lang w:val="en-GB"/>
    </w:rPr>
  </w:style>
  <w:style w:type="character" w:customStyle="1" w:styleId="ReferenceChar">
    <w:name w:val="Reference Char"/>
    <w:link w:val="Reference"/>
    <w:uiPriority w:val="99"/>
    <w:locked/>
    <w:rsid w:val="00F107D0"/>
    <w:rPr>
      <w:lang w:val="da-DK" w:eastAsia="da-DK"/>
    </w:rPr>
  </w:style>
  <w:style w:type="paragraph" w:customStyle="1" w:styleId="Reference">
    <w:name w:val="Reference"/>
    <w:basedOn w:val="EX"/>
    <w:link w:val="ReferenceChar"/>
    <w:uiPriority w:val="99"/>
    <w:qFormat/>
    <w:rsid w:val="00F107D0"/>
    <w:pPr>
      <w:numPr>
        <w:numId w:val="5"/>
      </w:numPr>
      <w:overflowPunct w:val="0"/>
      <w:autoSpaceDE w:val="0"/>
      <w:autoSpaceDN w:val="0"/>
      <w:adjustRightInd w:val="0"/>
    </w:pPr>
    <w:rPr>
      <w:lang w:val="da-DK" w:eastAsia="da-DK"/>
    </w:rPr>
  </w:style>
  <w:style w:type="paragraph" w:customStyle="1" w:styleId="Doc-text2">
    <w:name w:val="Doc-text2"/>
    <w:basedOn w:val="Normal"/>
    <w:link w:val="Doc-text2Char"/>
    <w:qFormat/>
    <w:rsid w:val="00DE214C"/>
    <w:pPr>
      <w:tabs>
        <w:tab w:val="left" w:pos="1622"/>
      </w:tabs>
      <w:overflowPunct w:val="0"/>
      <w:autoSpaceDE w:val="0"/>
      <w:autoSpaceDN w:val="0"/>
      <w:adjustRightInd w:val="0"/>
      <w:spacing w:after="0"/>
      <w:ind w:left="1622" w:hanging="363"/>
      <w:textAlignment w:val="baseline"/>
    </w:pPr>
    <w:rPr>
      <w:rFonts w:ascii="Arial" w:eastAsia="MS Mincho" w:hAnsi="Arial"/>
      <w:szCs w:val="24"/>
      <w:lang w:val="x-none" w:eastAsia="x-none"/>
    </w:rPr>
  </w:style>
  <w:style w:type="character" w:customStyle="1" w:styleId="Doc-text2Char">
    <w:name w:val="Doc-text2 Char"/>
    <w:link w:val="Doc-text2"/>
    <w:qFormat/>
    <w:locked/>
    <w:rsid w:val="00DE214C"/>
    <w:rPr>
      <w:rFonts w:ascii="Arial" w:eastAsia="MS Mincho" w:hAnsi="Arial"/>
      <w:szCs w:val="24"/>
      <w:lang w:val="x-none" w:eastAsia="x-none"/>
    </w:rPr>
  </w:style>
  <w:style w:type="paragraph" w:customStyle="1" w:styleId="EmailDiscussion">
    <w:name w:val="EmailDiscussion"/>
    <w:basedOn w:val="Normal"/>
    <w:next w:val="Normal"/>
    <w:link w:val="EmailDiscussionChar"/>
    <w:rsid w:val="00DE214C"/>
    <w:pPr>
      <w:numPr>
        <w:numId w:val="6"/>
      </w:numPr>
      <w:overflowPunct w:val="0"/>
      <w:autoSpaceDE w:val="0"/>
      <w:autoSpaceDN w:val="0"/>
      <w:adjustRightInd w:val="0"/>
      <w:spacing w:before="40" w:after="0"/>
      <w:textAlignment w:val="baseline"/>
    </w:pPr>
    <w:rPr>
      <w:rFonts w:ascii="Arial" w:eastAsia="MS Mincho" w:hAnsi="Arial"/>
      <w:b/>
      <w:szCs w:val="24"/>
      <w:lang w:eastAsia="en-GB"/>
    </w:rPr>
  </w:style>
  <w:style w:type="character" w:customStyle="1" w:styleId="EmailDiscussionChar">
    <w:name w:val="EmailDiscussion Char"/>
    <w:link w:val="EmailDiscussion"/>
    <w:rsid w:val="00DE214C"/>
    <w:rPr>
      <w:rFonts w:ascii="Arial" w:eastAsia="MS Mincho" w:hAnsi="Arial"/>
      <w:b/>
      <w:szCs w:val="24"/>
      <w:lang w:val="en-GB" w:eastAsia="en-GB"/>
    </w:rPr>
  </w:style>
  <w:style w:type="character" w:customStyle="1" w:styleId="TAHCar">
    <w:name w:val="TAH Car"/>
    <w:qFormat/>
    <w:locked/>
    <w:rsid w:val="00BC4310"/>
    <w:rPr>
      <w:rFonts w:ascii="Arial" w:hAnsi="Arial"/>
      <w:b/>
      <w:sz w:val="18"/>
      <w:lang w:val="en-GB" w:eastAsia="en-US"/>
    </w:rPr>
  </w:style>
  <w:style w:type="paragraph" w:customStyle="1" w:styleId="Meetingcaption">
    <w:name w:val="Meeting caption"/>
    <w:basedOn w:val="Normal"/>
    <w:uiPriority w:val="99"/>
    <w:rsid w:val="00BC431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imes New Roman"/>
      <w:sz w:val="22"/>
      <w:lang w:val="fr-FR" w:eastAsia="en-GB"/>
    </w:rPr>
  </w:style>
  <w:style w:type="character" w:customStyle="1" w:styleId="TFZchn">
    <w:name w:val="TF Zchn"/>
    <w:rsid w:val="00EC1D26"/>
    <w:rPr>
      <w:rFonts w:ascii="Arial" w:hAnsi="Arial"/>
      <w:b/>
    </w:rPr>
  </w:style>
  <w:style w:type="character" w:customStyle="1" w:styleId="PLChar">
    <w:name w:val="PL Char"/>
    <w:link w:val="PL"/>
    <w:qFormat/>
    <w:rsid w:val="00C86A32"/>
    <w:rPr>
      <w:rFonts w:ascii="Courier New" w:hAnsi="Courier New"/>
      <w:sz w:val="16"/>
      <w:lang w:val="en-GB"/>
    </w:rPr>
  </w:style>
  <w:style w:type="character" w:styleId="UnresolvedMention">
    <w:name w:val="Unresolved Mention"/>
    <w:basedOn w:val="DefaultParagraphFont"/>
    <w:uiPriority w:val="99"/>
    <w:semiHidden/>
    <w:unhideWhenUsed/>
    <w:rsid w:val="000A52CD"/>
    <w:rPr>
      <w:color w:val="605E5C"/>
      <w:shd w:val="clear" w:color="auto" w:fill="E1DFDD"/>
    </w:rPr>
  </w:style>
  <w:style w:type="character" w:styleId="Mention">
    <w:name w:val="Mention"/>
    <w:basedOn w:val="DefaultParagraphFont"/>
    <w:uiPriority w:val="99"/>
    <w:unhideWhenUsed/>
    <w:rsid w:val="00295FA6"/>
    <w:rPr>
      <w:color w:val="2B579A"/>
      <w:shd w:val="clear" w:color="auto" w:fill="E6E6E6"/>
    </w:rPr>
  </w:style>
  <w:style w:type="paragraph" w:styleId="BodyText">
    <w:name w:val="Body Text"/>
    <w:basedOn w:val="Normal"/>
    <w:link w:val="BodyTextChar"/>
    <w:rsid w:val="007F4B4B"/>
    <w:pPr>
      <w:spacing w:after="120"/>
    </w:pPr>
    <w:rPr>
      <w:rFonts w:eastAsia="Times New Roman"/>
    </w:rPr>
  </w:style>
  <w:style w:type="character" w:customStyle="1" w:styleId="BodyTextChar">
    <w:name w:val="Body Text Char"/>
    <w:basedOn w:val="DefaultParagraphFont"/>
    <w:link w:val="BodyText"/>
    <w:rsid w:val="007F4B4B"/>
    <w:rPr>
      <w:rFonts w:eastAsia="Times New Roman"/>
      <w:lang w:val="en-GB"/>
    </w:rPr>
  </w:style>
  <w:style w:type="paragraph" w:styleId="Caption">
    <w:name w:val="caption"/>
    <w:basedOn w:val="Normal"/>
    <w:next w:val="Normal"/>
    <w:unhideWhenUsed/>
    <w:qFormat/>
    <w:rsid w:val="004A5F74"/>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636544">
      <w:bodyDiv w:val="1"/>
      <w:marLeft w:val="0"/>
      <w:marRight w:val="0"/>
      <w:marTop w:val="0"/>
      <w:marBottom w:val="0"/>
      <w:divBdr>
        <w:top w:val="none" w:sz="0" w:space="0" w:color="auto"/>
        <w:left w:val="none" w:sz="0" w:space="0" w:color="auto"/>
        <w:bottom w:val="none" w:sz="0" w:space="0" w:color="auto"/>
        <w:right w:val="none" w:sz="0" w:space="0" w:color="auto"/>
      </w:divBdr>
    </w:div>
    <w:div w:id="36322725">
      <w:bodyDiv w:val="1"/>
      <w:marLeft w:val="0"/>
      <w:marRight w:val="0"/>
      <w:marTop w:val="0"/>
      <w:marBottom w:val="0"/>
      <w:divBdr>
        <w:top w:val="none" w:sz="0" w:space="0" w:color="auto"/>
        <w:left w:val="none" w:sz="0" w:space="0" w:color="auto"/>
        <w:bottom w:val="none" w:sz="0" w:space="0" w:color="auto"/>
        <w:right w:val="none" w:sz="0" w:space="0" w:color="auto"/>
      </w:divBdr>
    </w:div>
    <w:div w:id="123427232">
      <w:bodyDiv w:val="1"/>
      <w:marLeft w:val="0"/>
      <w:marRight w:val="0"/>
      <w:marTop w:val="0"/>
      <w:marBottom w:val="0"/>
      <w:divBdr>
        <w:top w:val="none" w:sz="0" w:space="0" w:color="auto"/>
        <w:left w:val="none" w:sz="0" w:space="0" w:color="auto"/>
        <w:bottom w:val="none" w:sz="0" w:space="0" w:color="auto"/>
        <w:right w:val="none" w:sz="0" w:space="0" w:color="auto"/>
      </w:divBdr>
    </w:div>
    <w:div w:id="126897292">
      <w:bodyDiv w:val="1"/>
      <w:marLeft w:val="0"/>
      <w:marRight w:val="0"/>
      <w:marTop w:val="0"/>
      <w:marBottom w:val="0"/>
      <w:divBdr>
        <w:top w:val="none" w:sz="0" w:space="0" w:color="auto"/>
        <w:left w:val="none" w:sz="0" w:space="0" w:color="auto"/>
        <w:bottom w:val="none" w:sz="0" w:space="0" w:color="auto"/>
        <w:right w:val="none" w:sz="0" w:space="0" w:color="auto"/>
      </w:divBdr>
      <w:divsChild>
        <w:div w:id="2050840876">
          <w:marLeft w:val="360"/>
          <w:marRight w:val="0"/>
          <w:marTop w:val="0"/>
          <w:marBottom w:val="0"/>
          <w:divBdr>
            <w:top w:val="none" w:sz="0" w:space="0" w:color="auto"/>
            <w:left w:val="none" w:sz="0" w:space="0" w:color="auto"/>
            <w:bottom w:val="none" w:sz="0" w:space="0" w:color="auto"/>
            <w:right w:val="none" w:sz="0" w:space="0" w:color="auto"/>
          </w:divBdr>
        </w:div>
      </w:divsChild>
    </w:div>
    <w:div w:id="166403884">
      <w:bodyDiv w:val="1"/>
      <w:marLeft w:val="0"/>
      <w:marRight w:val="0"/>
      <w:marTop w:val="0"/>
      <w:marBottom w:val="0"/>
      <w:divBdr>
        <w:top w:val="none" w:sz="0" w:space="0" w:color="auto"/>
        <w:left w:val="none" w:sz="0" w:space="0" w:color="auto"/>
        <w:bottom w:val="none" w:sz="0" w:space="0" w:color="auto"/>
        <w:right w:val="none" w:sz="0" w:space="0" w:color="auto"/>
      </w:divBdr>
    </w:div>
    <w:div w:id="176309877">
      <w:bodyDiv w:val="1"/>
      <w:marLeft w:val="0"/>
      <w:marRight w:val="0"/>
      <w:marTop w:val="0"/>
      <w:marBottom w:val="0"/>
      <w:divBdr>
        <w:top w:val="none" w:sz="0" w:space="0" w:color="auto"/>
        <w:left w:val="none" w:sz="0" w:space="0" w:color="auto"/>
        <w:bottom w:val="none" w:sz="0" w:space="0" w:color="auto"/>
        <w:right w:val="none" w:sz="0" w:space="0" w:color="auto"/>
      </w:divBdr>
    </w:div>
    <w:div w:id="368409228">
      <w:bodyDiv w:val="1"/>
      <w:marLeft w:val="0"/>
      <w:marRight w:val="0"/>
      <w:marTop w:val="0"/>
      <w:marBottom w:val="0"/>
      <w:divBdr>
        <w:top w:val="none" w:sz="0" w:space="0" w:color="auto"/>
        <w:left w:val="none" w:sz="0" w:space="0" w:color="auto"/>
        <w:bottom w:val="none" w:sz="0" w:space="0" w:color="auto"/>
        <w:right w:val="none" w:sz="0" w:space="0" w:color="auto"/>
      </w:divBdr>
    </w:div>
    <w:div w:id="439648156">
      <w:bodyDiv w:val="1"/>
      <w:marLeft w:val="0"/>
      <w:marRight w:val="0"/>
      <w:marTop w:val="0"/>
      <w:marBottom w:val="0"/>
      <w:divBdr>
        <w:top w:val="none" w:sz="0" w:space="0" w:color="auto"/>
        <w:left w:val="none" w:sz="0" w:space="0" w:color="auto"/>
        <w:bottom w:val="none" w:sz="0" w:space="0" w:color="auto"/>
        <w:right w:val="none" w:sz="0" w:space="0" w:color="auto"/>
      </w:divBdr>
    </w:div>
    <w:div w:id="504789552">
      <w:bodyDiv w:val="1"/>
      <w:marLeft w:val="0"/>
      <w:marRight w:val="0"/>
      <w:marTop w:val="0"/>
      <w:marBottom w:val="0"/>
      <w:divBdr>
        <w:top w:val="none" w:sz="0" w:space="0" w:color="auto"/>
        <w:left w:val="none" w:sz="0" w:space="0" w:color="auto"/>
        <w:bottom w:val="none" w:sz="0" w:space="0" w:color="auto"/>
        <w:right w:val="none" w:sz="0" w:space="0" w:color="auto"/>
      </w:divBdr>
      <w:divsChild>
        <w:div w:id="1400901644">
          <w:marLeft w:val="0"/>
          <w:marRight w:val="0"/>
          <w:marTop w:val="0"/>
          <w:marBottom w:val="0"/>
          <w:divBdr>
            <w:top w:val="none" w:sz="0" w:space="0" w:color="auto"/>
            <w:left w:val="none" w:sz="0" w:space="0" w:color="auto"/>
            <w:bottom w:val="none" w:sz="0" w:space="0" w:color="auto"/>
            <w:right w:val="none" w:sz="0" w:space="0" w:color="auto"/>
          </w:divBdr>
        </w:div>
      </w:divsChild>
    </w:div>
    <w:div w:id="506482173">
      <w:bodyDiv w:val="1"/>
      <w:marLeft w:val="0"/>
      <w:marRight w:val="0"/>
      <w:marTop w:val="0"/>
      <w:marBottom w:val="0"/>
      <w:divBdr>
        <w:top w:val="none" w:sz="0" w:space="0" w:color="auto"/>
        <w:left w:val="none" w:sz="0" w:space="0" w:color="auto"/>
        <w:bottom w:val="none" w:sz="0" w:space="0" w:color="auto"/>
        <w:right w:val="none" w:sz="0" w:space="0" w:color="auto"/>
      </w:divBdr>
    </w:div>
    <w:div w:id="578489506">
      <w:bodyDiv w:val="1"/>
      <w:marLeft w:val="0"/>
      <w:marRight w:val="0"/>
      <w:marTop w:val="0"/>
      <w:marBottom w:val="0"/>
      <w:divBdr>
        <w:top w:val="none" w:sz="0" w:space="0" w:color="auto"/>
        <w:left w:val="none" w:sz="0" w:space="0" w:color="auto"/>
        <w:bottom w:val="none" w:sz="0" w:space="0" w:color="auto"/>
        <w:right w:val="none" w:sz="0" w:space="0" w:color="auto"/>
      </w:divBdr>
    </w:div>
    <w:div w:id="676662005">
      <w:bodyDiv w:val="1"/>
      <w:marLeft w:val="0"/>
      <w:marRight w:val="0"/>
      <w:marTop w:val="0"/>
      <w:marBottom w:val="0"/>
      <w:divBdr>
        <w:top w:val="none" w:sz="0" w:space="0" w:color="auto"/>
        <w:left w:val="none" w:sz="0" w:space="0" w:color="auto"/>
        <w:bottom w:val="none" w:sz="0" w:space="0" w:color="auto"/>
        <w:right w:val="none" w:sz="0" w:space="0" w:color="auto"/>
      </w:divBdr>
    </w:div>
    <w:div w:id="701589688">
      <w:bodyDiv w:val="1"/>
      <w:marLeft w:val="0"/>
      <w:marRight w:val="0"/>
      <w:marTop w:val="0"/>
      <w:marBottom w:val="0"/>
      <w:divBdr>
        <w:top w:val="none" w:sz="0" w:space="0" w:color="auto"/>
        <w:left w:val="none" w:sz="0" w:space="0" w:color="auto"/>
        <w:bottom w:val="none" w:sz="0" w:space="0" w:color="auto"/>
        <w:right w:val="none" w:sz="0" w:space="0" w:color="auto"/>
      </w:divBdr>
    </w:div>
    <w:div w:id="798380074">
      <w:bodyDiv w:val="1"/>
      <w:marLeft w:val="0"/>
      <w:marRight w:val="0"/>
      <w:marTop w:val="0"/>
      <w:marBottom w:val="0"/>
      <w:divBdr>
        <w:top w:val="none" w:sz="0" w:space="0" w:color="auto"/>
        <w:left w:val="none" w:sz="0" w:space="0" w:color="auto"/>
        <w:bottom w:val="none" w:sz="0" w:space="0" w:color="auto"/>
        <w:right w:val="none" w:sz="0" w:space="0" w:color="auto"/>
      </w:divBdr>
    </w:div>
    <w:div w:id="808517748">
      <w:bodyDiv w:val="1"/>
      <w:marLeft w:val="0"/>
      <w:marRight w:val="0"/>
      <w:marTop w:val="0"/>
      <w:marBottom w:val="0"/>
      <w:divBdr>
        <w:top w:val="none" w:sz="0" w:space="0" w:color="auto"/>
        <w:left w:val="none" w:sz="0" w:space="0" w:color="auto"/>
        <w:bottom w:val="none" w:sz="0" w:space="0" w:color="auto"/>
        <w:right w:val="none" w:sz="0" w:space="0" w:color="auto"/>
      </w:divBdr>
    </w:div>
    <w:div w:id="966664065">
      <w:bodyDiv w:val="1"/>
      <w:marLeft w:val="0"/>
      <w:marRight w:val="0"/>
      <w:marTop w:val="0"/>
      <w:marBottom w:val="0"/>
      <w:divBdr>
        <w:top w:val="none" w:sz="0" w:space="0" w:color="auto"/>
        <w:left w:val="none" w:sz="0" w:space="0" w:color="auto"/>
        <w:bottom w:val="none" w:sz="0" w:space="0" w:color="auto"/>
        <w:right w:val="none" w:sz="0" w:space="0" w:color="auto"/>
      </w:divBdr>
    </w:div>
    <w:div w:id="1043402070">
      <w:bodyDiv w:val="1"/>
      <w:marLeft w:val="0"/>
      <w:marRight w:val="0"/>
      <w:marTop w:val="0"/>
      <w:marBottom w:val="0"/>
      <w:divBdr>
        <w:top w:val="none" w:sz="0" w:space="0" w:color="auto"/>
        <w:left w:val="none" w:sz="0" w:space="0" w:color="auto"/>
        <w:bottom w:val="none" w:sz="0" w:space="0" w:color="auto"/>
        <w:right w:val="none" w:sz="0" w:space="0" w:color="auto"/>
      </w:divBdr>
    </w:div>
    <w:div w:id="1091048200">
      <w:bodyDiv w:val="1"/>
      <w:marLeft w:val="0"/>
      <w:marRight w:val="0"/>
      <w:marTop w:val="0"/>
      <w:marBottom w:val="0"/>
      <w:divBdr>
        <w:top w:val="none" w:sz="0" w:space="0" w:color="auto"/>
        <w:left w:val="none" w:sz="0" w:space="0" w:color="auto"/>
        <w:bottom w:val="none" w:sz="0" w:space="0" w:color="auto"/>
        <w:right w:val="none" w:sz="0" w:space="0" w:color="auto"/>
      </w:divBdr>
    </w:div>
    <w:div w:id="1186820397">
      <w:bodyDiv w:val="1"/>
      <w:marLeft w:val="0"/>
      <w:marRight w:val="0"/>
      <w:marTop w:val="0"/>
      <w:marBottom w:val="0"/>
      <w:divBdr>
        <w:top w:val="none" w:sz="0" w:space="0" w:color="auto"/>
        <w:left w:val="none" w:sz="0" w:space="0" w:color="auto"/>
        <w:bottom w:val="none" w:sz="0" w:space="0" w:color="auto"/>
        <w:right w:val="none" w:sz="0" w:space="0" w:color="auto"/>
      </w:divBdr>
    </w:div>
    <w:div w:id="1258514122">
      <w:bodyDiv w:val="1"/>
      <w:marLeft w:val="0"/>
      <w:marRight w:val="0"/>
      <w:marTop w:val="0"/>
      <w:marBottom w:val="0"/>
      <w:divBdr>
        <w:top w:val="none" w:sz="0" w:space="0" w:color="auto"/>
        <w:left w:val="none" w:sz="0" w:space="0" w:color="auto"/>
        <w:bottom w:val="none" w:sz="0" w:space="0" w:color="auto"/>
        <w:right w:val="none" w:sz="0" w:space="0" w:color="auto"/>
      </w:divBdr>
    </w:div>
    <w:div w:id="1315376436">
      <w:bodyDiv w:val="1"/>
      <w:marLeft w:val="0"/>
      <w:marRight w:val="0"/>
      <w:marTop w:val="0"/>
      <w:marBottom w:val="0"/>
      <w:divBdr>
        <w:top w:val="none" w:sz="0" w:space="0" w:color="auto"/>
        <w:left w:val="none" w:sz="0" w:space="0" w:color="auto"/>
        <w:bottom w:val="none" w:sz="0" w:space="0" w:color="auto"/>
        <w:right w:val="none" w:sz="0" w:space="0" w:color="auto"/>
      </w:divBdr>
    </w:div>
    <w:div w:id="1323313040">
      <w:bodyDiv w:val="1"/>
      <w:marLeft w:val="0"/>
      <w:marRight w:val="0"/>
      <w:marTop w:val="0"/>
      <w:marBottom w:val="0"/>
      <w:divBdr>
        <w:top w:val="none" w:sz="0" w:space="0" w:color="auto"/>
        <w:left w:val="none" w:sz="0" w:space="0" w:color="auto"/>
        <w:bottom w:val="none" w:sz="0" w:space="0" w:color="auto"/>
        <w:right w:val="none" w:sz="0" w:space="0" w:color="auto"/>
      </w:divBdr>
    </w:div>
    <w:div w:id="1337731070">
      <w:bodyDiv w:val="1"/>
      <w:marLeft w:val="0"/>
      <w:marRight w:val="0"/>
      <w:marTop w:val="0"/>
      <w:marBottom w:val="0"/>
      <w:divBdr>
        <w:top w:val="none" w:sz="0" w:space="0" w:color="auto"/>
        <w:left w:val="none" w:sz="0" w:space="0" w:color="auto"/>
        <w:bottom w:val="none" w:sz="0" w:space="0" w:color="auto"/>
        <w:right w:val="none" w:sz="0" w:space="0" w:color="auto"/>
      </w:divBdr>
    </w:div>
    <w:div w:id="1390230332">
      <w:bodyDiv w:val="1"/>
      <w:marLeft w:val="0"/>
      <w:marRight w:val="0"/>
      <w:marTop w:val="0"/>
      <w:marBottom w:val="0"/>
      <w:divBdr>
        <w:top w:val="none" w:sz="0" w:space="0" w:color="auto"/>
        <w:left w:val="none" w:sz="0" w:space="0" w:color="auto"/>
        <w:bottom w:val="none" w:sz="0" w:space="0" w:color="auto"/>
        <w:right w:val="none" w:sz="0" w:space="0" w:color="auto"/>
      </w:divBdr>
    </w:div>
    <w:div w:id="1403521345">
      <w:bodyDiv w:val="1"/>
      <w:marLeft w:val="0"/>
      <w:marRight w:val="0"/>
      <w:marTop w:val="0"/>
      <w:marBottom w:val="0"/>
      <w:divBdr>
        <w:top w:val="none" w:sz="0" w:space="0" w:color="auto"/>
        <w:left w:val="none" w:sz="0" w:space="0" w:color="auto"/>
        <w:bottom w:val="none" w:sz="0" w:space="0" w:color="auto"/>
        <w:right w:val="none" w:sz="0" w:space="0" w:color="auto"/>
      </w:divBdr>
      <w:divsChild>
        <w:div w:id="2041665234">
          <w:marLeft w:val="360"/>
          <w:marRight w:val="0"/>
          <w:marTop w:val="0"/>
          <w:marBottom w:val="0"/>
          <w:divBdr>
            <w:top w:val="none" w:sz="0" w:space="0" w:color="auto"/>
            <w:left w:val="none" w:sz="0" w:space="0" w:color="auto"/>
            <w:bottom w:val="none" w:sz="0" w:space="0" w:color="auto"/>
            <w:right w:val="none" w:sz="0" w:space="0" w:color="auto"/>
          </w:divBdr>
        </w:div>
      </w:divsChild>
    </w:div>
    <w:div w:id="1546067253">
      <w:bodyDiv w:val="1"/>
      <w:marLeft w:val="0"/>
      <w:marRight w:val="0"/>
      <w:marTop w:val="0"/>
      <w:marBottom w:val="0"/>
      <w:divBdr>
        <w:top w:val="none" w:sz="0" w:space="0" w:color="auto"/>
        <w:left w:val="none" w:sz="0" w:space="0" w:color="auto"/>
        <w:bottom w:val="none" w:sz="0" w:space="0" w:color="auto"/>
        <w:right w:val="none" w:sz="0" w:space="0" w:color="auto"/>
      </w:divBdr>
    </w:div>
    <w:div w:id="1600522721">
      <w:bodyDiv w:val="1"/>
      <w:marLeft w:val="0"/>
      <w:marRight w:val="0"/>
      <w:marTop w:val="0"/>
      <w:marBottom w:val="0"/>
      <w:divBdr>
        <w:top w:val="none" w:sz="0" w:space="0" w:color="auto"/>
        <w:left w:val="none" w:sz="0" w:space="0" w:color="auto"/>
        <w:bottom w:val="none" w:sz="0" w:space="0" w:color="auto"/>
        <w:right w:val="none" w:sz="0" w:space="0" w:color="auto"/>
      </w:divBdr>
      <w:divsChild>
        <w:div w:id="1031300359">
          <w:marLeft w:val="360"/>
          <w:marRight w:val="0"/>
          <w:marTop w:val="0"/>
          <w:marBottom w:val="0"/>
          <w:divBdr>
            <w:top w:val="none" w:sz="0" w:space="0" w:color="auto"/>
            <w:left w:val="none" w:sz="0" w:space="0" w:color="auto"/>
            <w:bottom w:val="none" w:sz="0" w:space="0" w:color="auto"/>
            <w:right w:val="none" w:sz="0" w:space="0" w:color="auto"/>
          </w:divBdr>
        </w:div>
      </w:divsChild>
    </w:div>
    <w:div w:id="1628462720">
      <w:bodyDiv w:val="1"/>
      <w:marLeft w:val="0"/>
      <w:marRight w:val="0"/>
      <w:marTop w:val="0"/>
      <w:marBottom w:val="0"/>
      <w:divBdr>
        <w:top w:val="none" w:sz="0" w:space="0" w:color="auto"/>
        <w:left w:val="none" w:sz="0" w:space="0" w:color="auto"/>
        <w:bottom w:val="none" w:sz="0" w:space="0" w:color="auto"/>
        <w:right w:val="none" w:sz="0" w:space="0" w:color="auto"/>
      </w:divBdr>
    </w:div>
    <w:div w:id="1656180578">
      <w:bodyDiv w:val="1"/>
      <w:marLeft w:val="0"/>
      <w:marRight w:val="0"/>
      <w:marTop w:val="0"/>
      <w:marBottom w:val="0"/>
      <w:divBdr>
        <w:top w:val="none" w:sz="0" w:space="0" w:color="auto"/>
        <w:left w:val="none" w:sz="0" w:space="0" w:color="auto"/>
        <w:bottom w:val="none" w:sz="0" w:space="0" w:color="auto"/>
        <w:right w:val="none" w:sz="0" w:space="0" w:color="auto"/>
      </w:divBdr>
    </w:div>
    <w:div w:id="1753622484">
      <w:bodyDiv w:val="1"/>
      <w:marLeft w:val="0"/>
      <w:marRight w:val="0"/>
      <w:marTop w:val="0"/>
      <w:marBottom w:val="0"/>
      <w:divBdr>
        <w:top w:val="none" w:sz="0" w:space="0" w:color="auto"/>
        <w:left w:val="none" w:sz="0" w:space="0" w:color="auto"/>
        <w:bottom w:val="none" w:sz="0" w:space="0" w:color="auto"/>
        <w:right w:val="none" w:sz="0" w:space="0" w:color="auto"/>
      </w:divBdr>
    </w:div>
    <w:div w:id="1821075966">
      <w:bodyDiv w:val="1"/>
      <w:marLeft w:val="0"/>
      <w:marRight w:val="0"/>
      <w:marTop w:val="0"/>
      <w:marBottom w:val="0"/>
      <w:divBdr>
        <w:top w:val="none" w:sz="0" w:space="0" w:color="auto"/>
        <w:left w:val="none" w:sz="0" w:space="0" w:color="auto"/>
        <w:bottom w:val="none" w:sz="0" w:space="0" w:color="auto"/>
        <w:right w:val="none" w:sz="0" w:space="0" w:color="auto"/>
      </w:divBdr>
    </w:div>
    <w:div w:id="1933931412">
      <w:bodyDiv w:val="1"/>
      <w:marLeft w:val="0"/>
      <w:marRight w:val="0"/>
      <w:marTop w:val="0"/>
      <w:marBottom w:val="0"/>
      <w:divBdr>
        <w:top w:val="none" w:sz="0" w:space="0" w:color="auto"/>
        <w:left w:val="none" w:sz="0" w:space="0" w:color="auto"/>
        <w:bottom w:val="none" w:sz="0" w:space="0" w:color="auto"/>
        <w:right w:val="none" w:sz="0" w:space="0" w:color="auto"/>
      </w:divBdr>
    </w:div>
    <w:div w:id="2008092220">
      <w:bodyDiv w:val="1"/>
      <w:marLeft w:val="0"/>
      <w:marRight w:val="0"/>
      <w:marTop w:val="0"/>
      <w:marBottom w:val="0"/>
      <w:divBdr>
        <w:top w:val="none" w:sz="0" w:space="0" w:color="auto"/>
        <w:left w:val="none" w:sz="0" w:space="0" w:color="auto"/>
        <w:bottom w:val="none" w:sz="0" w:space="0" w:color="auto"/>
        <w:right w:val="none" w:sz="0" w:space="0" w:color="auto"/>
      </w:divBdr>
    </w:div>
    <w:div w:id="2029062436">
      <w:bodyDiv w:val="1"/>
      <w:marLeft w:val="0"/>
      <w:marRight w:val="0"/>
      <w:marTop w:val="0"/>
      <w:marBottom w:val="0"/>
      <w:divBdr>
        <w:top w:val="none" w:sz="0" w:space="0" w:color="auto"/>
        <w:left w:val="none" w:sz="0" w:space="0" w:color="auto"/>
        <w:bottom w:val="none" w:sz="0" w:space="0" w:color="auto"/>
        <w:right w:val="none" w:sz="0" w:space="0" w:color="auto"/>
      </w:divBdr>
    </w:div>
    <w:div w:id="2042585437">
      <w:bodyDiv w:val="1"/>
      <w:marLeft w:val="0"/>
      <w:marRight w:val="0"/>
      <w:marTop w:val="0"/>
      <w:marBottom w:val="0"/>
      <w:divBdr>
        <w:top w:val="none" w:sz="0" w:space="0" w:color="auto"/>
        <w:left w:val="none" w:sz="0" w:space="0" w:color="auto"/>
        <w:bottom w:val="none" w:sz="0" w:space="0" w:color="auto"/>
        <w:right w:val="none" w:sz="0" w:space="0" w:color="auto"/>
      </w:divBdr>
      <w:divsChild>
        <w:div w:id="405810841">
          <w:marLeft w:val="547"/>
          <w:marRight w:val="0"/>
          <w:marTop w:val="0"/>
          <w:marBottom w:val="0"/>
          <w:divBdr>
            <w:top w:val="none" w:sz="0" w:space="0" w:color="auto"/>
            <w:left w:val="none" w:sz="0" w:space="0" w:color="auto"/>
            <w:bottom w:val="none" w:sz="0" w:space="0" w:color="auto"/>
            <w:right w:val="none" w:sz="0" w:space="0" w:color="auto"/>
          </w:divBdr>
        </w:div>
        <w:div w:id="532422220">
          <w:marLeft w:val="1800"/>
          <w:marRight w:val="0"/>
          <w:marTop w:val="0"/>
          <w:marBottom w:val="0"/>
          <w:divBdr>
            <w:top w:val="none" w:sz="0" w:space="0" w:color="auto"/>
            <w:left w:val="none" w:sz="0" w:space="0" w:color="auto"/>
            <w:bottom w:val="none" w:sz="0" w:space="0" w:color="auto"/>
            <w:right w:val="none" w:sz="0" w:space="0" w:color="auto"/>
          </w:divBdr>
        </w:div>
        <w:div w:id="681588982">
          <w:marLeft w:val="1166"/>
          <w:marRight w:val="0"/>
          <w:marTop w:val="0"/>
          <w:marBottom w:val="0"/>
          <w:divBdr>
            <w:top w:val="none" w:sz="0" w:space="0" w:color="auto"/>
            <w:left w:val="none" w:sz="0" w:space="0" w:color="auto"/>
            <w:bottom w:val="none" w:sz="0" w:space="0" w:color="auto"/>
            <w:right w:val="none" w:sz="0" w:space="0" w:color="auto"/>
          </w:divBdr>
        </w:div>
        <w:div w:id="941380710">
          <w:marLeft w:val="1800"/>
          <w:marRight w:val="0"/>
          <w:marTop w:val="0"/>
          <w:marBottom w:val="0"/>
          <w:divBdr>
            <w:top w:val="none" w:sz="0" w:space="0" w:color="auto"/>
            <w:left w:val="none" w:sz="0" w:space="0" w:color="auto"/>
            <w:bottom w:val="none" w:sz="0" w:space="0" w:color="auto"/>
            <w:right w:val="none" w:sz="0" w:space="0" w:color="auto"/>
          </w:divBdr>
        </w:div>
        <w:div w:id="1073360401">
          <w:marLeft w:val="547"/>
          <w:marRight w:val="0"/>
          <w:marTop w:val="0"/>
          <w:marBottom w:val="0"/>
          <w:divBdr>
            <w:top w:val="none" w:sz="0" w:space="0" w:color="auto"/>
            <w:left w:val="none" w:sz="0" w:space="0" w:color="auto"/>
            <w:bottom w:val="none" w:sz="0" w:space="0" w:color="auto"/>
            <w:right w:val="none" w:sz="0" w:space="0" w:color="auto"/>
          </w:divBdr>
        </w:div>
        <w:div w:id="1085809075">
          <w:marLeft w:val="1800"/>
          <w:marRight w:val="0"/>
          <w:marTop w:val="0"/>
          <w:marBottom w:val="0"/>
          <w:divBdr>
            <w:top w:val="none" w:sz="0" w:space="0" w:color="auto"/>
            <w:left w:val="none" w:sz="0" w:space="0" w:color="auto"/>
            <w:bottom w:val="none" w:sz="0" w:space="0" w:color="auto"/>
            <w:right w:val="none" w:sz="0" w:space="0" w:color="auto"/>
          </w:divBdr>
        </w:div>
        <w:div w:id="1540387804">
          <w:marLeft w:val="1166"/>
          <w:marRight w:val="0"/>
          <w:marTop w:val="0"/>
          <w:marBottom w:val="180"/>
          <w:divBdr>
            <w:top w:val="none" w:sz="0" w:space="0" w:color="auto"/>
            <w:left w:val="none" w:sz="0" w:space="0" w:color="auto"/>
            <w:bottom w:val="none" w:sz="0" w:space="0" w:color="auto"/>
            <w:right w:val="none" w:sz="0" w:space="0" w:color="auto"/>
          </w:divBdr>
        </w:div>
        <w:div w:id="1547525637">
          <w:marLeft w:val="1166"/>
          <w:marRight w:val="0"/>
          <w:marTop w:val="0"/>
          <w:marBottom w:val="0"/>
          <w:divBdr>
            <w:top w:val="none" w:sz="0" w:space="0" w:color="auto"/>
            <w:left w:val="none" w:sz="0" w:space="0" w:color="auto"/>
            <w:bottom w:val="none" w:sz="0" w:space="0" w:color="auto"/>
            <w:right w:val="none" w:sz="0" w:space="0" w:color="auto"/>
          </w:divBdr>
        </w:div>
        <w:div w:id="1632635996">
          <w:marLeft w:val="1166"/>
          <w:marRight w:val="0"/>
          <w:marTop w:val="0"/>
          <w:marBottom w:val="0"/>
          <w:divBdr>
            <w:top w:val="none" w:sz="0" w:space="0" w:color="auto"/>
            <w:left w:val="none" w:sz="0" w:space="0" w:color="auto"/>
            <w:bottom w:val="none" w:sz="0" w:space="0" w:color="auto"/>
            <w:right w:val="none" w:sz="0" w:space="0" w:color="auto"/>
          </w:divBdr>
        </w:div>
        <w:div w:id="2010523529">
          <w:marLeft w:val="1166"/>
          <w:marRight w:val="0"/>
          <w:marTop w:val="0"/>
          <w:marBottom w:val="0"/>
          <w:divBdr>
            <w:top w:val="none" w:sz="0" w:space="0" w:color="auto"/>
            <w:left w:val="none" w:sz="0" w:space="0" w:color="auto"/>
            <w:bottom w:val="none" w:sz="0" w:space="0" w:color="auto"/>
            <w:right w:val="none" w:sz="0" w:space="0" w:color="auto"/>
          </w:divBdr>
        </w:div>
      </w:divsChild>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itu.int/pub/R-REP-M.2516"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3gpp.org/ftp/tsg_sa/TSG_SA/TSGS_106_Madrid_2024-12/Docs/SP-241439.zip"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1.png"/><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itu.int/rec/R-REC-M/recommendation.asp?lang=en&amp;parent=R-REC-M.2160" TargetMode="External"/><Relationship Id="rId22"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RBI5PAMIO524-1616901215-36113</_dlc_DocId>
    <_dlc_DocIdUrl xmlns="71c5aaf6-e6ce-465b-b873-5148d2a4c105">
      <Url>https://nokia.sharepoint.com/sites/gxp/_layouts/15/DocIdRedir.aspx?ID=RBI5PAMIO524-1616901215-36113</Url>
      <Description>RBI5PAMIO524-1616901215-36113</Description>
    </_dlc_DocIdUrl>
    <Comments xmlns="3f2ce089-3858-4176-9a21-a30f9204848e">OK</Comments>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F0218A7-70BF-40EE-8A0F-590CFBC665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EEAB788-3140-43F2-BBCE-64472BEAD970}">
  <ds:schemaRefs>
    <ds:schemaRef ds:uri="http://schemas.microsoft.com/sharepoint/events"/>
  </ds:schemaRefs>
</ds:datastoreItem>
</file>

<file path=customXml/itemProps3.xml><?xml version="1.0" encoding="utf-8"?>
<ds:datastoreItem xmlns:ds="http://schemas.openxmlformats.org/officeDocument/2006/customXml" ds:itemID="{7977B64F-993F-4038-BBCD-9EAF28A4AC0A}">
  <ds:schemaRefs>
    <ds:schemaRef ds:uri="Microsoft.SharePoint.Taxonomy.ContentTypeSync"/>
  </ds:schemaRefs>
</ds:datastoreItem>
</file>

<file path=customXml/itemProps4.xml><?xml version="1.0" encoding="utf-8"?>
<ds:datastoreItem xmlns:ds="http://schemas.openxmlformats.org/officeDocument/2006/customXml" ds:itemID="{CA3BD00F-F53C-4AD7-8A5E-77194EBCE4CE}">
  <ds:schemaRefs>
    <ds:schemaRef ds:uri="http://schemas.microsoft.com/sharepoint/v3/contenttype/forms"/>
  </ds:schemaRefs>
</ds:datastoreItem>
</file>

<file path=customXml/itemProps5.xml><?xml version="1.0" encoding="utf-8"?>
<ds:datastoreItem xmlns:ds="http://schemas.openxmlformats.org/officeDocument/2006/customXml" ds:itemID="{1C692C05-25A6-4009-9EA6-E63D743C0BD8}">
  <ds:schemaRefs>
    <ds:schemaRef ds:uri="http://schemas.openxmlformats.org/officeDocument/2006/bibliography"/>
  </ds:schemaRefs>
</ds:datastoreItem>
</file>

<file path=customXml/itemProps6.xml><?xml version="1.0" encoding="utf-8"?>
<ds:datastoreItem xmlns:ds="http://schemas.openxmlformats.org/officeDocument/2006/customXml" ds:itemID="{F891DF76-7085-4B0B-AD1B-29512E8F393F}">
  <ds:schemaRefs>
    <ds:schemaRef ds:uri="http://schemas.microsoft.com/office/infopath/2007/PartnerControls"/>
    <ds:schemaRef ds:uri="71c5aaf6-e6ce-465b-b873-5148d2a4c105"/>
    <ds:schemaRef ds:uri="http://schemas.microsoft.com/office/2006/documentManagement/types"/>
    <ds:schemaRef ds:uri="http://purl.org/dc/terms/"/>
    <ds:schemaRef ds:uri="http://www.w3.org/XML/1998/namespace"/>
    <ds:schemaRef ds:uri="http://schemas.openxmlformats.org/package/2006/metadata/core-properties"/>
    <ds:schemaRef ds:uri="3f2ce089-3858-4176-9a21-a30f9204848e"/>
    <ds:schemaRef ds:uri="http://purl.org/dc/dcmitype/"/>
    <ds:schemaRef ds:uri="7275bb01-7583-478d-bc14-e839a2dd5989"/>
    <ds:schemaRef ds:uri="http://schemas.microsoft.com/office/2006/metadata/properties"/>
    <ds:schemaRef ds:uri="http://purl.org/dc/elements/1.1/"/>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Template>
  <TotalTime>0</TotalTime>
  <Pages>7</Pages>
  <Words>3078</Words>
  <Characters>17546</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3GPP TDoc</vt:lpstr>
    </vt:vector>
  </TitlesOfParts>
  <Company/>
  <LinksUpToDate>false</LinksUpToDate>
  <CharactersWithSpaces>20583</CharactersWithSpaces>
  <SharedDoc>false</SharedDoc>
  <HLinks>
    <vt:vector size="18" baseType="variant">
      <vt:variant>
        <vt:i4>2555914</vt:i4>
      </vt:variant>
      <vt:variant>
        <vt:i4>12</vt:i4>
      </vt:variant>
      <vt:variant>
        <vt:i4>0</vt:i4>
      </vt:variant>
      <vt:variant>
        <vt:i4>5</vt:i4>
      </vt:variant>
      <vt:variant>
        <vt:lpwstr>https://www.3gpp.org/ftp/tsg_sa/TSG_SA/TSGS_106_Madrid_2024-12/Docs/SP-241439.zip</vt:lpwstr>
      </vt:variant>
      <vt:variant>
        <vt:lpwstr/>
      </vt:variant>
      <vt:variant>
        <vt:i4>6750309</vt:i4>
      </vt:variant>
      <vt:variant>
        <vt:i4>3</vt:i4>
      </vt:variant>
      <vt:variant>
        <vt:i4>0</vt:i4>
      </vt:variant>
      <vt:variant>
        <vt:i4>5</vt:i4>
      </vt:variant>
      <vt:variant>
        <vt:lpwstr>https://www.itu.int/rec/R-REC-M/recommendation.asp?lang=en&amp;parent=R-REC-M.2160</vt:lpwstr>
      </vt:variant>
      <vt:variant>
        <vt:lpwstr/>
      </vt:variant>
      <vt:variant>
        <vt:i4>4259917</vt:i4>
      </vt:variant>
      <vt:variant>
        <vt:i4>0</vt:i4>
      </vt:variant>
      <vt:variant>
        <vt:i4>0</vt:i4>
      </vt:variant>
      <vt:variant>
        <vt:i4>5</vt:i4>
      </vt:variant>
      <vt:variant>
        <vt:lpwstr>https://www.itu.int/pub/R-REP-M.2516</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TDoc</dc:title>
  <dc:subject>&lt;Title 1; Title 2&gt; (Release 13 |12 |11 | 10 | 9 | 8 | 7 | 6 | 5 | 4)</dc:subject>
  <dc:creator>Benoist Sébire</dc:creator>
  <cp:keywords>Nokia;3GPP, RAN2, CTPClassification=CTP_NT</cp:keywords>
  <cp:lastModifiedBy>Antti Toskala (Nokia)</cp:lastModifiedBy>
  <cp:revision>2</cp:revision>
  <cp:lastPrinted>2017-09-21T22:18:00Z</cp:lastPrinted>
  <dcterms:created xsi:type="dcterms:W3CDTF">2024-12-03T13:42:00Z</dcterms:created>
  <dcterms:modified xsi:type="dcterms:W3CDTF">2024-12-03T13:42:00Z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(2)CgebwxT5jiBzcksgdHvB9HaciiAIsLRIya4aVQbBgdkpeKegG5PC4md3lHF4ML47VCkeie7e_x000d_
4Rbx64VAOgHXdCgWxnN4aCtPx+Y0FVF56zi7p5Oq+i+R+SYWq0U24BwN2HsPDWJcjPng4QSn_x000d_
2eHUekcuX8RFzgWMAoEpZYsvlfBe/vFjeVUEZTG5kph/x2HOpiOMoOEw1dWQcJqqeKAZrywK_x000d_
Wd3wHJFrauC3tCO3Ae</vt:lpwstr>
  </property>
  <property fmtid="{D5CDD505-2E9C-101B-9397-08002B2CF9AE}" pid="4" name="_2015_ms_pID_7253431">
    <vt:lpwstr>GoZldQTsVcotumvV3+K/on7x/bz+yjxVzpq6InsYoWF4E8z8K3ndD+_x000d_
AUPo5FzK9BLIr9E63kHYzXt4PrusoIH/Wo9PsSjQODXpZtHiIRiJQXIX8s6hHM1eEXL1kUi9_x000d_
y8IZo2pvrzlxfS2OinQlLNyrPmUqI/zA+3FpeJWPewGi5013otM2EAz9KsyTPVpGox2qKh4a_x000d_
9gpw9lGAfNYS4QZq</vt:lpwstr>
  </property>
  <property fmtid="{D5CDD505-2E9C-101B-9397-08002B2CF9AE}" pid="5" name="KSOProductBuildVer">
    <vt:lpwstr>2052-10.8.2.7027</vt:lpwstr>
  </property>
  <property fmtid="{D5CDD505-2E9C-101B-9397-08002B2CF9AE}" pid="6" name="TitusGUID">
    <vt:lpwstr>9604ba61-4027-4740-a99e-18db98fd1dbb</vt:lpwstr>
  </property>
  <property fmtid="{D5CDD505-2E9C-101B-9397-08002B2CF9AE}" pid="7" name="CTP_TimeStamp">
    <vt:lpwstr>2020-04-23 17:32:55Z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ontentTypeId">
    <vt:lpwstr>0x01010055A05E76B664164F9F76E63E6D6BE6ED</vt:lpwstr>
  </property>
  <property fmtid="{D5CDD505-2E9C-101B-9397-08002B2CF9AE}" pid="12" name="CTPClassification">
    <vt:lpwstr>CTP_NT</vt:lpwstr>
  </property>
  <property fmtid="{D5CDD505-2E9C-101B-9397-08002B2CF9AE}" pid="13" name="_dlc_DocIdItemGuid">
    <vt:lpwstr>695a1424-774d-4160-aefc-9b40415d4568</vt:lpwstr>
  </property>
  <property fmtid="{D5CDD505-2E9C-101B-9397-08002B2CF9AE}" pid="14" name="MediaServiceImageTags">
    <vt:lpwstr/>
  </property>
</Properties>
</file>